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0A54C12" w:rsidR="00473972" w:rsidRPr="008226BD" w:rsidRDefault="00E602CA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E602CA">
        <w:rPr>
          <w:rFonts w:hint="eastAsia"/>
          <w:b/>
          <w:bCs/>
          <w:sz w:val="48"/>
          <w:szCs w:val="44"/>
        </w:rPr>
        <w:t>搶救大型石化工廠火災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344C8124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770B12">
              <w:rPr>
                <w:kern w:val="0"/>
                <w:sz w:val="32"/>
                <w:szCs w:val="28"/>
              </w:rPr>
              <w:t>SH-P4-01</w:t>
            </w:r>
            <w:r w:rsidR="00770B12">
              <w:rPr>
                <w:rFonts w:hint="eastAsia"/>
                <w:kern w:val="0"/>
                <w:sz w:val="32"/>
                <w:szCs w:val="28"/>
              </w:rPr>
              <w:t>6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CF97557" w14:textId="22C543EC" w:rsidR="00770B12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770B12">
        <w:rPr>
          <w:rFonts w:hint="eastAsia"/>
          <w:noProof/>
        </w:rPr>
        <w:t>一、</w:t>
      </w:r>
      <w:r w:rsidR="00770B12">
        <w:rPr>
          <w:rFonts w:hint="eastAsia"/>
          <w:noProof/>
        </w:rPr>
        <w:t xml:space="preserve"> </w:t>
      </w:r>
      <w:r w:rsidR="00770B12">
        <w:rPr>
          <w:rFonts w:hint="eastAsia"/>
          <w:noProof/>
        </w:rPr>
        <w:t>目的</w:t>
      </w:r>
      <w:r w:rsidR="00770B12">
        <w:rPr>
          <w:noProof/>
        </w:rPr>
        <w:tab/>
      </w:r>
      <w:r w:rsidR="00770B12">
        <w:rPr>
          <w:noProof/>
        </w:rPr>
        <w:fldChar w:fldCharType="begin"/>
      </w:r>
      <w:r w:rsidR="00770B12">
        <w:rPr>
          <w:noProof/>
        </w:rPr>
        <w:instrText xml:space="preserve"> PAGEREF _Toc177907254 \h </w:instrText>
      </w:r>
      <w:r w:rsidR="00770B12">
        <w:rPr>
          <w:noProof/>
        </w:rPr>
      </w:r>
      <w:r w:rsidR="00770B12">
        <w:rPr>
          <w:noProof/>
        </w:rPr>
        <w:fldChar w:fldCharType="separate"/>
      </w:r>
      <w:r w:rsidR="0005442A">
        <w:rPr>
          <w:noProof/>
        </w:rPr>
        <w:t>1</w:t>
      </w:r>
      <w:r w:rsidR="00770B12">
        <w:rPr>
          <w:noProof/>
        </w:rPr>
        <w:fldChar w:fldCharType="end"/>
      </w:r>
    </w:p>
    <w:p w14:paraId="1917590F" w14:textId="0DF3288E" w:rsidR="00770B12" w:rsidRDefault="00770B1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_Toc177907255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1</w:t>
      </w:r>
      <w:r>
        <w:rPr>
          <w:noProof/>
        </w:rPr>
        <w:fldChar w:fldCharType="end"/>
      </w:r>
    </w:p>
    <w:p w14:paraId="2FC04EBF" w14:textId="52F92487" w:rsidR="00770B12" w:rsidRDefault="00770B1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_Toc177907256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1</w:t>
      </w:r>
      <w:r>
        <w:rPr>
          <w:noProof/>
        </w:rPr>
        <w:fldChar w:fldCharType="end"/>
      </w:r>
    </w:p>
    <w:p w14:paraId="7F99B4FF" w14:textId="4EBB6A86" w:rsidR="00770B12" w:rsidRDefault="00770B1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_Toc177907257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2</w:t>
      </w:r>
      <w:r>
        <w:rPr>
          <w:noProof/>
        </w:rPr>
        <w:fldChar w:fldCharType="end"/>
      </w:r>
    </w:p>
    <w:p w14:paraId="46C1A302" w14:textId="21122A9E" w:rsidR="00770B12" w:rsidRDefault="00770B1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_Toc177907258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2</w:t>
      </w:r>
      <w:r>
        <w:rPr>
          <w:noProof/>
        </w:rPr>
        <w:fldChar w:fldCharType="end"/>
      </w:r>
    </w:p>
    <w:p w14:paraId="0D974DAF" w14:textId="1396E0CD" w:rsidR="00770B12" w:rsidRDefault="00770B1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7F2D5D">
        <w:rPr>
          <w:rFonts w:cs="Times New Roman" w:hint="eastAsia"/>
          <w:noProof/>
          <w:kern w:val="0"/>
        </w:rPr>
        <w:t xml:space="preserve"> </w:t>
      </w:r>
      <w:r w:rsidRPr="007F2D5D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_Toc177907259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2</w:t>
      </w:r>
      <w:r>
        <w:rPr>
          <w:noProof/>
        </w:rPr>
        <w:fldChar w:fldCharType="end"/>
      </w:r>
    </w:p>
    <w:p w14:paraId="008BF0C5" w14:textId="51475418" w:rsidR="00770B12" w:rsidRDefault="00770B1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7F2D5D">
        <w:rPr>
          <w:rFonts w:cs="Times New Roman"/>
          <w:noProof/>
          <w:kern w:val="0"/>
        </w:rPr>
        <w:t>5.2</w:t>
      </w:r>
      <w:r w:rsidRPr="007F2D5D">
        <w:rPr>
          <w:rFonts w:cs="Times New Roman" w:hint="eastAsia"/>
          <w:noProof/>
          <w:kern w:val="0"/>
        </w:rPr>
        <w:t xml:space="preserve"> </w:t>
      </w:r>
      <w:r w:rsidRPr="007F2D5D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_Toc177907260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2</w:t>
      </w:r>
      <w:r>
        <w:rPr>
          <w:noProof/>
        </w:rPr>
        <w:fldChar w:fldCharType="end"/>
      </w:r>
    </w:p>
    <w:p w14:paraId="13A05FE7" w14:textId="08BEAA19" w:rsidR="00770B12" w:rsidRDefault="00770B1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_Toc177907261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2</w:t>
      </w:r>
      <w:r>
        <w:rPr>
          <w:noProof/>
        </w:rPr>
        <w:fldChar w:fldCharType="end"/>
      </w:r>
    </w:p>
    <w:p w14:paraId="0A8BEC73" w14:textId="56E71302" w:rsidR="00770B12" w:rsidRDefault="00770B1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_Toc177907262 \h </w:instrText>
      </w:r>
      <w:r>
        <w:rPr>
          <w:noProof/>
        </w:rPr>
      </w:r>
      <w:r>
        <w:rPr>
          <w:noProof/>
        </w:rPr>
        <w:fldChar w:fldCharType="separate"/>
      </w:r>
      <w:r w:rsidR="0005442A">
        <w:rPr>
          <w:noProof/>
        </w:rPr>
        <w:t>3</w:t>
      </w:r>
      <w:r>
        <w:rPr>
          <w:noProof/>
        </w:rPr>
        <w:fldChar w:fldCharType="end"/>
      </w:r>
    </w:p>
    <w:p w14:paraId="33306CB3" w14:textId="34FABA5A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7254"/>
      <w:r>
        <w:rPr>
          <w:rFonts w:hint="eastAsia"/>
        </w:rPr>
        <w:lastRenderedPageBreak/>
        <w:t>目的</w:t>
      </w:r>
      <w:bookmarkEnd w:id="0"/>
    </w:p>
    <w:p w14:paraId="22698CD6" w14:textId="1D281D97" w:rsidR="00044380" w:rsidRDefault="00E602CA" w:rsidP="00044380">
      <w:pPr>
        <w:widowControl/>
      </w:pPr>
      <w:r w:rsidRPr="00090AA6">
        <w:rPr>
          <w:rFonts w:cs="Times New Roman"/>
        </w:rPr>
        <w:t>瞭解搶救大型石化工廠火災時應注意之安全事項，以避免或降低潛在風險，確保消防人員執勤安全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770B12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7255"/>
      <w:r>
        <w:rPr>
          <w:rFonts w:hint="eastAsia"/>
        </w:rPr>
        <w:t>範圍</w:t>
      </w:r>
      <w:bookmarkEnd w:id="1"/>
    </w:p>
    <w:p w14:paraId="070AD96A" w14:textId="02B2AB26" w:rsidR="00044380" w:rsidRDefault="00E602CA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770B12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7256"/>
      <w:r>
        <w:rPr>
          <w:rFonts w:hint="eastAsia"/>
        </w:rPr>
        <w:t>名詞解釋</w:t>
      </w:r>
      <w:bookmarkEnd w:id="2"/>
    </w:p>
    <w:p w14:paraId="734DC8F1" w14:textId="3799A6E2" w:rsidR="00DF13A1" w:rsidRDefault="00E602CA" w:rsidP="00770B12">
      <w:pPr>
        <w:pStyle w:val="a8"/>
        <w:numPr>
          <w:ilvl w:val="0"/>
          <w:numId w:val="29"/>
        </w:numPr>
        <w:ind w:leftChars="0"/>
      </w:pPr>
      <w:r w:rsidRPr="00770B12">
        <w:t>大型</w:t>
      </w:r>
      <w:r w:rsidRPr="00090AA6">
        <w:rPr>
          <w:rFonts w:cs="Times New Roman"/>
        </w:rPr>
        <w:t>石化工廠</w:t>
      </w:r>
    </w:p>
    <w:p w14:paraId="6FB222F9" w14:textId="77777777" w:rsidR="001C365C" w:rsidRDefault="00452611" w:rsidP="00770B12">
      <w:pPr>
        <w:pStyle w:val="a8"/>
        <w:ind w:leftChars="0" w:left="530"/>
        <w:rPr>
          <w:rFonts w:cs="Times New Roman"/>
        </w:rPr>
      </w:pPr>
      <w:r>
        <w:rPr>
          <w:rFonts w:cs="Times New Roman" w:hint="eastAsia"/>
        </w:rPr>
        <w:t>因製成需要，</w:t>
      </w:r>
      <w:r w:rsidR="00B1196E">
        <w:rPr>
          <w:rFonts w:cs="Times New Roman" w:hint="eastAsia"/>
        </w:rPr>
        <w:t>大量使用石油、化學等物，故</w:t>
      </w:r>
      <w:r w:rsidR="00E602CA" w:rsidRPr="00090AA6">
        <w:rPr>
          <w:rFonts w:cs="Times New Roman"/>
        </w:rPr>
        <w:t>存放大量的</w:t>
      </w:r>
      <w:r w:rsidR="00B1196E">
        <w:rPr>
          <w:rFonts w:cs="Times New Roman" w:hint="eastAsia"/>
        </w:rPr>
        <w:t>危害性化學品</w:t>
      </w:r>
    </w:p>
    <w:p w14:paraId="72A0BBC0" w14:textId="1CA400B3" w:rsidR="002D2ED3" w:rsidRDefault="002D2ED3" w:rsidP="00770B12">
      <w:pPr>
        <w:pStyle w:val="a8"/>
        <w:numPr>
          <w:ilvl w:val="0"/>
          <w:numId w:val="29"/>
        </w:numPr>
        <w:ind w:leftChars="0"/>
      </w:pPr>
      <w:r w:rsidRPr="00090AA6">
        <w:rPr>
          <w:rFonts w:cs="Times New Roman"/>
        </w:rPr>
        <w:t>大型</w:t>
      </w:r>
      <w:r w:rsidRPr="00770B12">
        <w:t>石化</w:t>
      </w:r>
      <w:r w:rsidRPr="00090AA6">
        <w:rPr>
          <w:rFonts w:cs="Times New Roman"/>
        </w:rPr>
        <w:t>工廠火災</w:t>
      </w:r>
      <w:r>
        <w:rPr>
          <w:rFonts w:cs="Times New Roman" w:hint="eastAsia"/>
        </w:rPr>
        <w:t>之災害特性</w:t>
      </w:r>
    </w:p>
    <w:p w14:paraId="5C1E4560" w14:textId="455FBD12" w:rsidR="00AF3DC5" w:rsidRDefault="00AF3DC5" w:rsidP="00770B12">
      <w:pPr>
        <w:pStyle w:val="a8"/>
        <w:ind w:leftChars="0" w:left="530"/>
      </w:pPr>
      <w:r>
        <w:rPr>
          <w:rFonts w:cs="Times New Roman" w:hint="eastAsia"/>
        </w:rPr>
        <w:t>存放大量之</w:t>
      </w:r>
      <w:r w:rsidRPr="00090AA6">
        <w:rPr>
          <w:rFonts w:cs="Times New Roman"/>
        </w:rPr>
        <w:t>石油化學物質，包括爆炸性物質、可燃性氣體及蒸氣、著火性物質、易燃性物質、自燃性物質、禁水性物質及氧化性物質等危害性化學品</w:t>
      </w:r>
      <w:r>
        <w:rPr>
          <w:rFonts w:cs="Times New Roman" w:hint="eastAsia"/>
        </w:rPr>
        <w:t>，</w:t>
      </w:r>
      <w:r w:rsidRPr="00090AA6">
        <w:rPr>
          <w:rFonts w:cs="Times New Roman"/>
        </w:rPr>
        <w:t>可能使火災快速延燒、爆炸，甚至有毒物質外</w:t>
      </w:r>
      <w:proofErr w:type="gramStart"/>
      <w:r w:rsidRPr="00090AA6">
        <w:rPr>
          <w:rFonts w:cs="Times New Roman"/>
        </w:rPr>
        <w:t>洩</w:t>
      </w:r>
      <w:proofErr w:type="gramEnd"/>
      <w:r w:rsidRPr="00090AA6">
        <w:rPr>
          <w:rFonts w:cs="Times New Roman"/>
        </w:rPr>
        <w:t>危及消防人員及週遭民眾生命安全</w:t>
      </w:r>
      <w:r>
        <w:rPr>
          <w:rFonts w:hint="eastAsia"/>
        </w:rPr>
        <w:t>。</w:t>
      </w:r>
    </w:p>
    <w:p w14:paraId="0ADD046C" w14:textId="5ABBA047" w:rsidR="00772C90" w:rsidRDefault="00772C90" w:rsidP="00770B12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潑濺（</w:t>
      </w:r>
      <w:r>
        <w:rPr>
          <w:rFonts w:hint="eastAsia"/>
        </w:rPr>
        <w:t>Slop Over</w:t>
      </w:r>
      <w:r>
        <w:rPr>
          <w:rFonts w:hint="eastAsia"/>
        </w:rPr>
        <w:t>）</w:t>
      </w:r>
    </w:p>
    <w:p w14:paraId="5BFF4F84" w14:textId="77777777" w:rsidR="00772C90" w:rsidRDefault="00772C90" w:rsidP="00770B12">
      <w:pPr>
        <w:pStyle w:val="a8"/>
        <w:ind w:leftChars="0" w:left="530"/>
      </w:pPr>
      <w:r>
        <w:rPr>
          <w:rFonts w:hint="eastAsia"/>
        </w:rPr>
        <w:t>夾帶於油料中之乳化水或滅火中加入於油料之</w:t>
      </w:r>
      <w:proofErr w:type="gramStart"/>
      <w:r>
        <w:rPr>
          <w:rFonts w:hint="eastAsia"/>
        </w:rPr>
        <w:t>水份</w:t>
      </w:r>
      <w:proofErr w:type="gramEnd"/>
      <w:r>
        <w:rPr>
          <w:rFonts w:hint="eastAsia"/>
        </w:rPr>
        <w:t>，一旦接觸到熱浪就會產生沸騰</w:t>
      </w:r>
      <w:proofErr w:type="gramStart"/>
      <w:r>
        <w:rPr>
          <w:rFonts w:hint="eastAsia"/>
        </w:rPr>
        <w:t>引起油面起泡</w:t>
      </w:r>
      <w:proofErr w:type="gramEnd"/>
      <w:r>
        <w:rPr>
          <w:rFonts w:hint="eastAsia"/>
        </w:rPr>
        <w:t>，導致油料體積增加，造成油料</w:t>
      </w:r>
      <w:proofErr w:type="gramStart"/>
      <w:r>
        <w:rPr>
          <w:rFonts w:hint="eastAsia"/>
        </w:rPr>
        <w:t>帶火外</w:t>
      </w:r>
      <w:proofErr w:type="gramEnd"/>
      <w:r>
        <w:rPr>
          <w:rFonts w:hint="eastAsia"/>
        </w:rPr>
        <w:t>溢，此現象稱之。</w:t>
      </w:r>
    </w:p>
    <w:p w14:paraId="6C9A6234" w14:textId="6B00A80B" w:rsidR="00772C90" w:rsidRDefault="00772C90" w:rsidP="00770B12">
      <w:pPr>
        <w:pStyle w:val="a8"/>
        <w:numPr>
          <w:ilvl w:val="0"/>
          <w:numId w:val="29"/>
        </w:numPr>
        <w:ind w:leftChars="0"/>
      </w:pPr>
      <w:proofErr w:type="gramStart"/>
      <w:r>
        <w:rPr>
          <w:rFonts w:hint="eastAsia"/>
        </w:rPr>
        <w:t>沸濺（</w:t>
      </w:r>
      <w:proofErr w:type="gramEnd"/>
      <w:r>
        <w:rPr>
          <w:rFonts w:hint="eastAsia"/>
        </w:rPr>
        <w:t>Boil Over</w:t>
      </w:r>
      <w:r>
        <w:rPr>
          <w:rFonts w:hint="eastAsia"/>
        </w:rPr>
        <w:t>）</w:t>
      </w:r>
    </w:p>
    <w:p w14:paraId="0AB16091" w14:textId="77777777" w:rsidR="00BE030D" w:rsidRDefault="00772C90" w:rsidP="00770B12">
      <w:pPr>
        <w:pStyle w:val="a8"/>
        <w:ind w:leftChars="0" w:left="530"/>
      </w:pPr>
      <w:r>
        <w:rPr>
          <w:rFonts w:hint="eastAsia"/>
        </w:rPr>
        <w:t>原油（包括燃料油及廢雜油）等沸點範圍較大之油料時，燃燒時就會產生液體蒸餾之現象，即</w:t>
      </w:r>
      <w:proofErr w:type="gramStart"/>
      <w:r>
        <w:rPr>
          <w:rFonts w:hint="eastAsia"/>
        </w:rPr>
        <w:t>油液面</w:t>
      </w:r>
      <w:proofErr w:type="gramEnd"/>
      <w:r>
        <w:rPr>
          <w:rFonts w:hint="eastAsia"/>
        </w:rPr>
        <w:t>附近之重質成分與下層</w:t>
      </w:r>
      <w:proofErr w:type="gramStart"/>
      <w:r>
        <w:rPr>
          <w:rFonts w:hint="eastAsia"/>
        </w:rPr>
        <w:t>之冷輕質</w:t>
      </w:r>
      <w:proofErr w:type="gramEnd"/>
      <w:r>
        <w:rPr>
          <w:rFonts w:hint="eastAsia"/>
        </w:rPr>
        <w:t>成分交換位置隨著燃燒時間的延長，形成</w:t>
      </w:r>
      <w:r w:rsidR="00BE030D">
        <w:rPr>
          <w:rFonts w:hint="eastAsia"/>
        </w:rPr>
        <w:t>Heat Wave</w:t>
      </w:r>
      <w:r w:rsidR="00BE030D">
        <w:rPr>
          <w:rFonts w:hint="eastAsia"/>
        </w:rPr>
        <w:t>（約</w:t>
      </w:r>
      <w:r w:rsidR="00BE030D">
        <w:rPr>
          <w:rFonts w:hint="eastAsia"/>
        </w:rPr>
        <w:t>200</w:t>
      </w:r>
      <w:r w:rsidR="00BE030D">
        <w:rPr>
          <w:rFonts w:hint="eastAsia"/>
        </w:rPr>
        <w:t>℃）會向下成長，至接觸到儲槽</w:t>
      </w:r>
      <w:proofErr w:type="gramStart"/>
      <w:r w:rsidR="00BE030D">
        <w:rPr>
          <w:rFonts w:hint="eastAsia"/>
        </w:rPr>
        <w:t>底水層</w:t>
      </w:r>
      <w:proofErr w:type="gramEnd"/>
      <w:r w:rsidR="00BE030D">
        <w:rPr>
          <w:rFonts w:hint="eastAsia"/>
        </w:rPr>
        <w:t>時，因水</w:t>
      </w:r>
      <w:proofErr w:type="gramStart"/>
      <w:r w:rsidR="00BE030D">
        <w:rPr>
          <w:rFonts w:hint="eastAsia"/>
        </w:rPr>
        <w:t>在常壓</w:t>
      </w:r>
      <w:proofErr w:type="gramEnd"/>
      <w:r w:rsidR="00BE030D">
        <w:rPr>
          <w:rFonts w:hint="eastAsia"/>
        </w:rPr>
        <w:t>，溫度在</w:t>
      </w:r>
      <w:r w:rsidR="00BE030D">
        <w:rPr>
          <w:rFonts w:hint="eastAsia"/>
        </w:rPr>
        <w:t>100</w:t>
      </w:r>
      <w:r w:rsidR="00BE030D">
        <w:rPr>
          <w:rFonts w:hint="eastAsia"/>
        </w:rPr>
        <w:t>℃時汽化，體積膨脹</w:t>
      </w:r>
      <w:r w:rsidR="00BE030D">
        <w:rPr>
          <w:rFonts w:hint="eastAsia"/>
        </w:rPr>
        <w:t>1700</w:t>
      </w:r>
      <w:r w:rsidR="00BE030D">
        <w:rPr>
          <w:rFonts w:hint="eastAsia"/>
        </w:rPr>
        <w:t>倍，引起急遽沸騰，產生大量水蒸氣噴出，造成油料</w:t>
      </w:r>
      <w:proofErr w:type="gramStart"/>
      <w:r w:rsidR="00BE030D">
        <w:rPr>
          <w:rFonts w:hint="eastAsia"/>
        </w:rPr>
        <w:t>帶火噴</w:t>
      </w:r>
      <w:proofErr w:type="gramEnd"/>
      <w:r w:rsidR="00BE030D">
        <w:rPr>
          <w:rFonts w:hint="eastAsia"/>
        </w:rPr>
        <w:t>向天空。</w:t>
      </w:r>
    </w:p>
    <w:p w14:paraId="51D250A0" w14:textId="133BAF8D" w:rsidR="00BE030D" w:rsidRDefault="00BE030D" w:rsidP="00770B12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B.L.E.V.E</w:t>
      </w:r>
    </w:p>
    <w:p w14:paraId="6A28BFB8" w14:textId="0C6BDB93" w:rsidR="00AF4A66" w:rsidRDefault="00BE030D" w:rsidP="00770B12">
      <w:pPr>
        <w:pStyle w:val="a8"/>
        <w:ind w:leftChars="0" w:left="530"/>
      </w:pPr>
      <w:r>
        <w:rPr>
          <w:rFonts w:hint="eastAsia"/>
        </w:rPr>
        <w:t>可燃性</w:t>
      </w:r>
      <w:proofErr w:type="gramStart"/>
      <w:r>
        <w:rPr>
          <w:rFonts w:hint="eastAsia"/>
        </w:rPr>
        <w:t>液體槽體受</w:t>
      </w:r>
      <w:proofErr w:type="gramEnd"/>
      <w:r>
        <w:rPr>
          <w:rFonts w:hint="eastAsia"/>
        </w:rPr>
        <w:t>火焰加熱後，可燃性液體</w:t>
      </w:r>
      <w:proofErr w:type="gramStart"/>
      <w:r>
        <w:rPr>
          <w:rFonts w:hint="eastAsia"/>
        </w:rPr>
        <w:t>蒸發使槽內</w:t>
      </w:r>
      <w:proofErr w:type="gramEnd"/>
      <w:r>
        <w:rPr>
          <w:rFonts w:hint="eastAsia"/>
        </w:rPr>
        <w:t>壓力上升，此時安全閥動作放出內壓，</w:t>
      </w:r>
      <w:proofErr w:type="gramStart"/>
      <w:r>
        <w:rPr>
          <w:rFonts w:hint="eastAsia"/>
        </w:rPr>
        <w:t>但因槽內</w:t>
      </w:r>
      <w:proofErr w:type="gramEnd"/>
      <w:r>
        <w:rPr>
          <w:rFonts w:hint="eastAsia"/>
        </w:rPr>
        <w:t>加熱過度使安全閥無法及時宣洩壓力</w:t>
      </w:r>
      <w:proofErr w:type="gramStart"/>
      <w:r>
        <w:rPr>
          <w:rFonts w:hint="eastAsia"/>
        </w:rPr>
        <w:t>致使槽體破裂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槽內呈高溫</w:t>
      </w:r>
      <w:proofErr w:type="gramEnd"/>
      <w:r>
        <w:rPr>
          <w:rFonts w:hint="eastAsia"/>
        </w:rPr>
        <w:t>高壓狀態之可燃性氣體及液體</w:t>
      </w:r>
      <w:proofErr w:type="gramStart"/>
      <w:r>
        <w:rPr>
          <w:rFonts w:hint="eastAsia"/>
        </w:rPr>
        <w:t>因槽體</w:t>
      </w:r>
      <w:proofErr w:type="gramEnd"/>
      <w:r>
        <w:rPr>
          <w:rFonts w:hint="eastAsia"/>
        </w:rPr>
        <w:t>破裂，可燃性液體為達壓力平衡而急劇蒸發成可燃性氣體，</w:t>
      </w:r>
      <w:proofErr w:type="gramStart"/>
      <w:r>
        <w:rPr>
          <w:rFonts w:hint="eastAsia"/>
        </w:rPr>
        <w:t>而槽體</w:t>
      </w:r>
      <w:proofErr w:type="gramEnd"/>
      <w:r>
        <w:rPr>
          <w:rFonts w:hint="eastAsia"/>
        </w:rPr>
        <w:t>因氣體膨脹而爆炸並伴隨周圍火焰瞬間燃燒的物理現象。</w:t>
      </w:r>
    </w:p>
    <w:p w14:paraId="4DC62624" w14:textId="42E39C52" w:rsidR="00044380" w:rsidRDefault="00044380" w:rsidP="00B21139">
      <w:pPr>
        <w:pStyle w:val="1"/>
      </w:pPr>
      <w:bookmarkStart w:id="3" w:name="_Toc177907257"/>
      <w:r>
        <w:rPr>
          <w:rFonts w:hint="eastAsia"/>
        </w:rPr>
        <w:lastRenderedPageBreak/>
        <w:t>作業程序</w:t>
      </w:r>
      <w:bookmarkEnd w:id="3"/>
    </w:p>
    <w:p w14:paraId="4AC02D43" w14:textId="4C0F0B13" w:rsidR="00044380" w:rsidRPr="009A4EB1" w:rsidRDefault="00355618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7828AC58" wp14:editId="2338CF95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624782" y="36003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BAFB5E" w14:textId="78F32530" w:rsidR="00355618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確保搶救大型石化工廠火災安全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625055" y="706794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D08166" w14:textId="77777777" w:rsidR="00355618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624783" y="2048875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076CA9" w14:textId="77777777" w:rsidR="00355618" w:rsidRPr="005F0A5B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624783" y="1377952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73E60F" w14:textId="40B6B04C" w:rsidR="00355618" w:rsidRPr="005F0A5B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建立搶救大型石化工廠火災安全注意事項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624783" y="2719829"/>
                            <a:ext cx="2952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E3AA60" w14:textId="77777777" w:rsidR="00355618" w:rsidRPr="00FE71A6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625237" y="3390505"/>
                            <a:ext cx="2952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8E6E51" w14:textId="77777777" w:rsidR="00355618" w:rsidRDefault="00355618" w:rsidP="0035561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00852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00853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00853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00853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00853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28AC58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6247;top:360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2BAFB5E" w14:textId="78F32530" w:rsidR="00355618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確保搶救大型石化工廠火災安全</w:t>
                        </w:r>
                      </w:p>
                    </w:txbxContent>
                  </v:textbox>
                </v:shape>
                <v:rect id="矩形 4" o:spid="_x0000_s1029" style="position:absolute;left:16250;top:7067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15D08166" w14:textId="77777777" w:rsidR="00355618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6247;top:2048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D076CA9" w14:textId="77777777" w:rsidR="00355618" w:rsidRPr="005F0A5B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6247;top:13779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4D73E60F" w14:textId="40B6B04C" w:rsidR="00355618" w:rsidRPr="005F0A5B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建立搶救大型石化工廠火災安全注意事項</w:t>
                        </w:r>
                      </w:p>
                    </w:txbxContent>
                  </v:textbox>
                </v:rect>
                <v:rect id="矩形 11" o:spid="_x0000_s1032" style="position:absolute;left:16247;top:27198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28E3AA60" w14:textId="77777777" w:rsidR="00355618" w:rsidRPr="00FE71A6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6252;top:33905;width:295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08E6E51" w14:textId="77777777" w:rsidR="00355618" w:rsidRDefault="00355618" w:rsidP="0035561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00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00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008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008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00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7258"/>
      <w:r>
        <w:rPr>
          <w:rFonts w:hint="eastAsia"/>
        </w:rPr>
        <w:t>作業內容</w:t>
      </w:r>
      <w:bookmarkEnd w:id="4"/>
    </w:p>
    <w:p w14:paraId="540D6B0D" w14:textId="0A1EE6CD" w:rsidR="0075566B" w:rsidRDefault="00474591" w:rsidP="00AE517D">
      <w:pPr>
        <w:pStyle w:val="2"/>
      </w:pPr>
      <w:bookmarkStart w:id="5" w:name="_Toc177907259"/>
      <w:r>
        <w:rPr>
          <w:rFonts w:cs="Times New Roman" w:hint="eastAsia"/>
          <w:kern w:val="0"/>
        </w:rPr>
        <w:t>風險識別與</w:t>
      </w:r>
      <w:r w:rsidR="00770B12">
        <w:rPr>
          <w:rFonts w:cs="Times New Roman" w:hint="eastAsia"/>
          <w:kern w:val="0"/>
        </w:rPr>
        <w:t>案例分析</w:t>
      </w:r>
      <w:bookmarkEnd w:id="5"/>
    </w:p>
    <w:p w14:paraId="64B46F9A" w14:textId="4B19FDF7" w:rsidR="00865D41" w:rsidRDefault="00E602CA" w:rsidP="00770B12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柴油</w:t>
      </w:r>
      <w:r w:rsidRPr="00770B12">
        <w:rPr>
          <w:rFonts w:hint="eastAsia"/>
        </w:rPr>
        <w:t>洩漏</w:t>
      </w:r>
      <w:r>
        <w:rPr>
          <w:rFonts w:cs="Times New Roman" w:hint="eastAsia"/>
        </w:rPr>
        <w:t>火災案例分析</w:t>
      </w:r>
    </w:p>
    <w:p w14:paraId="2A373188" w14:textId="2DE68A26" w:rsidR="0075566B" w:rsidRDefault="00EB6B04" w:rsidP="00770B12">
      <w:pPr>
        <w:pStyle w:val="a8"/>
        <w:ind w:leftChars="0" w:left="530"/>
      </w:pPr>
      <w:r w:rsidRPr="00770B12">
        <w:rPr>
          <w:rFonts w:hint="eastAsia"/>
        </w:rPr>
        <w:t>說明</w:t>
      </w:r>
      <w:r>
        <w:rPr>
          <w:rFonts w:cs="Times New Roman" w:hint="eastAsia"/>
        </w:rPr>
        <w:t>發生災害原因，並進行檢討</w:t>
      </w:r>
      <w:r w:rsidR="0075566B">
        <w:rPr>
          <w:rFonts w:hint="eastAsia"/>
        </w:rPr>
        <w:t>。</w:t>
      </w:r>
    </w:p>
    <w:p w14:paraId="004EAB66" w14:textId="4D1F7C95" w:rsidR="00EB6B04" w:rsidRDefault="00E602CA" w:rsidP="00770B12">
      <w:pPr>
        <w:pStyle w:val="a8"/>
        <w:numPr>
          <w:ilvl w:val="0"/>
          <w:numId w:val="30"/>
        </w:numPr>
        <w:ind w:leftChars="0"/>
      </w:pPr>
      <w:r w:rsidRPr="00770B12">
        <w:rPr>
          <w:rFonts w:hint="eastAsia"/>
        </w:rPr>
        <w:t>重油洩漏</w:t>
      </w:r>
      <w:r>
        <w:rPr>
          <w:rFonts w:cs="Times New Roman" w:hint="eastAsia"/>
        </w:rPr>
        <w:t>起火案例分析</w:t>
      </w:r>
    </w:p>
    <w:p w14:paraId="7897AB89" w14:textId="3B018FE7" w:rsidR="00EB6B04" w:rsidRPr="00EB6B04" w:rsidRDefault="00EB6B04" w:rsidP="00770B12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7260"/>
      <w:r>
        <w:rPr>
          <w:rFonts w:cs="Times New Roman" w:hint="eastAsia"/>
          <w:kern w:val="0"/>
        </w:rPr>
        <w:t>安全注意事項</w:t>
      </w:r>
      <w:bookmarkEnd w:id="6"/>
    </w:p>
    <w:p w14:paraId="29F00BBD" w14:textId="208D7F83" w:rsidR="00865D41" w:rsidRPr="00865D41" w:rsidRDefault="00E602CA" w:rsidP="00865D41">
      <w:pPr>
        <w:ind w:left="363"/>
      </w:pPr>
      <w:r w:rsidRPr="008D1C37">
        <w:rPr>
          <w:rFonts w:cs="Times New Roman"/>
        </w:rPr>
        <w:t>受理報案時儘量掌握災情全般狀況</w:t>
      </w:r>
      <w:r>
        <w:rPr>
          <w:rFonts w:cs="Times New Roman" w:hint="eastAsia"/>
        </w:rPr>
        <w:t>、</w:t>
      </w:r>
      <w:r w:rsidRPr="008D1C37">
        <w:rPr>
          <w:rFonts w:cs="Times New Roman"/>
        </w:rPr>
        <w:t>通知相關權責單位</w:t>
      </w:r>
      <w:r>
        <w:rPr>
          <w:rFonts w:cs="Times New Roman" w:hint="eastAsia"/>
        </w:rPr>
        <w:t>、</w:t>
      </w:r>
      <w:r w:rsidRPr="008D1C37">
        <w:rPr>
          <w:rFonts w:cs="Times New Roman"/>
        </w:rPr>
        <w:t>接近前先行觀察</w:t>
      </w:r>
      <w:r>
        <w:rPr>
          <w:rFonts w:cs="Times New Roman" w:hint="eastAsia"/>
        </w:rPr>
        <w:t>，</w:t>
      </w:r>
      <w:r w:rsidRPr="008D1C37">
        <w:rPr>
          <w:rFonts w:cs="Times New Roman"/>
        </w:rPr>
        <w:t>避免吸入任何蒸氣、</w:t>
      </w:r>
      <w:r>
        <w:rPr>
          <w:rFonts w:cs="Times New Roman" w:hint="eastAsia"/>
        </w:rPr>
        <w:t>現場事故交接，</w:t>
      </w:r>
      <w:r w:rsidRPr="008D1C37">
        <w:rPr>
          <w:rFonts w:cs="Times New Roman"/>
        </w:rPr>
        <w:t>劃定管制區</w:t>
      </w:r>
      <w:r>
        <w:rPr>
          <w:rFonts w:cs="Times New Roman" w:hint="eastAsia"/>
        </w:rPr>
        <w:t>，</w:t>
      </w:r>
      <w:r w:rsidRPr="008D1C37">
        <w:rPr>
          <w:rFonts w:cs="Times New Roman" w:hint="eastAsia"/>
        </w:rPr>
        <w:t>預留支援人員</w:t>
      </w:r>
      <w:r w:rsidRPr="00585755">
        <w:rPr>
          <w:rFonts w:cs="Times New Roman"/>
        </w:rPr>
        <w:t>、</w:t>
      </w:r>
      <w:r w:rsidRPr="008D1C37">
        <w:rPr>
          <w:rFonts w:cs="Times New Roman"/>
        </w:rPr>
        <w:t>預防高輻射熱及爆炸危害（含高壓液化氣體）</w:t>
      </w:r>
      <w:r>
        <w:rPr>
          <w:rFonts w:cs="Times New Roman" w:hint="eastAsia"/>
        </w:rPr>
        <w:t>、</w:t>
      </w:r>
      <w:r w:rsidRPr="00E37088">
        <w:rPr>
          <w:rFonts w:cs="Times New Roman"/>
        </w:rPr>
        <w:t>執行除</w:t>
      </w:r>
      <w:proofErr w:type="gramStart"/>
      <w:r w:rsidRPr="00E37088">
        <w:rPr>
          <w:rFonts w:cs="Times New Roman"/>
        </w:rPr>
        <w:t>汙</w:t>
      </w:r>
      <w:proofErr w:type="gramEnd"/>
      <w:r w:rsidRPr="00E37088">
        <w:rPr>
          <w:rFonts w:cs="Times New Roman"/>
        </w:rPr>
        <w:t>作業</w:t>
      </w:r>
      <w:r>
        <w:rPr>
          <w:rFonts w:cs="Times New Roman" w:hint="eastAsia"/>
        </w:rPr>
        <w:t>、傷患</w:t>
      </w:r>
      <w:r w:rsidRPr="00E37088">
        <w:rPr>
          <w:rFonts w:cs="Times New Roman"/>
        </w:rPr>
        <w:t>救護</w:t>
      </w:r>
      <w:r>
        <w:rPr>
          <w:rFonts w:cs="Times New Roman" w:hint="eastAsia"/>
        </w:rPr>
        <w:t>、</w:t>
      </w:r>
      <w:r w:rsidRPr="008D1C37">
        <w:rPr>
          <w:rFonts w:cs="Times New Roman"/>
        </w:rPr>
        <w:t>啟動災害防救機制</w:t>
      </w:r>
      <w:r>
        <w:rPr>
          <w:rFonts w:cs="Times New Roman" w:hint="eastAsia"/>
        </w:rPr>
        <w:t>、</w:t>
      </w:r>
      <w:r w:rsidRPr="008D1C37">
        <w:rPr>
          <w:rFonts w:cs="Times New Roman"/>
        </w:rPr>
        <w:t>撤離時機</w:t>
      </w:r>
      <w:r>
        <w:rPr>
          <w:rFonts w:cs="Times New Roman" w:hint="eastAsia"/>
        </w:rPr>
        <w:t>制定等等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7261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770B12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770B12">
      <w:pPr>
        <w:pStyle w:val="a8"/>
        <w:ind w:leftChars="0" w:left="530"/>
      </w:pPr>
      <w:r w:rsidRPr="00764702">
        <w:rPr>
          <w:rFonts w:cs="Times New Roman" w:hint="eastAsia"/>
        </w:rPr>
        <w:t>針對</w:t>
      </w:r>
      <w:r w:rsidRPr="00770B12">
        <w:rPr>
          <w:rFonts w:hint="eastAsia"/>
        </w:rPr>
        <w:t>可能</w:t>
      </w:r>
      <w:r w:rsidRPr="00764702">
        <w:rPr>
          <w:rFonts w:cs="Times New Roman" w:hint="eastAsia"/>
        </w:rPr>
        <w:t>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770B12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770B12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7262"/>
      <w:r>
        <w:rPr>
          <w:rFonts w:hint="eastAsia"/>
        </w:rPr>
        <w:t>使用表單</w:t>
      </w:r>
      <w:bookmarkEnd w:id="8"/>
    </w:p>
    <w:p w14:paraId="74D5B637" w14:textId="46563F21" w:rsidR="000374A5" w:rsidRDefault="006B16C0" w:rsidP="00770B12">
      <w:pPr>
        <w:pStyle w:val="a8"/>
        <w:numPr>
          <w:ilvl w:val="0"/>
          <w:numId w:val="32"/>
        </w:numPr>
        <w:ind w:leftChars="0"/>
      </w:pPr>
      <w:r w:rsidRPr="006B16C0">
        <w:rPr>
          <w:rFonts w:hint="eastAsia"/>
        </w:rPr>
        <w:t>搶救大型石化工廠火災安全檢查表</w:t>
      </w:r>
    </w:p>
    <w:p w14:paraId="4F507A76" w14:textId="79A990BF" w:rsidR="00CF1BDC" w:rsidRDefault="006B16C0" w:rsidP="00770B12">
      <w:pPr>
        <w:pStyle w:val="a8"/>
        <w:numPr>
          <w:ilvl w:val="0"/>
          <w:numId w:val="32"/>
        </w:numPr>
        <w:ind w:leftChars="0"/>
      </w:pPr>
      <w:r w:rsidRPr="006B16C0">
        <w:rPr>
          <w:rFonts w:hint="eastAsia"/>
        </w:rPr>
        <w:t>搶救石化工廠火災所需之特殊裝備清單</w:t>
      </w:r>
    </w:p>
    <w:p w14:paraId="1840A4DC" w14:textId="67443424" w:rsidR="00CF1BDC" w:rsidRDefault="006B16C0" w:rsidP="00770B12">
      <w:pPr>
        <w:pStyle w:val="a8"/>
        <w:numPr>
          <w:ilvl w:val="0"/>
          <w:numId w:val="32"/>
        </w:numPr>
        <w:ind w:leftChars="0"/>
      </w:pPr>
      <w:r w:rsidRPr="006B16C0">
        <w:rPr>
          <w:rFonts w:hint="eastAsia"/>
        </w:rPr>
        <w:t>事故案例分析紀錄</w:t>
      </w:r>
    </w:p>
    <w:p w14:paraId="21BE2222" w14:textId="640BDF7A" w:rsidR="006B16C0" w:rsidRPr="00864C4F" w:rsidRDefault="006B16C0" w:rsidP="00864C4F"/>
    <w:sectPr w:rsidR="006B16C0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8C634" w14:textId="77777777" w:rsidR="00E41C94" w:rsidRDefault="00E41C94" w:rsidP="00234E57">
      <w:r>
        <w:separator/>
      </w:r>
    </w:p>
  </w:endnote>
  <w:endnote w:type="continuationSeparator" w:id="0">
    <w:p w14:paraId="28F2C9D0" w14:textId="77777777" w:rsidR="00E41C94" w:rsidRDefault="00E41C94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511C8115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AA3" w:rsidRPr="00506AA3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380FBA85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BE" w:rsidRPr="006305BE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79164" w14:textId="77777777" w:rsidR="00E41C94" w:rsidRDefault="00E41C94" w:rsidP="00234E57">
      <w:r>
        <w:separator/>
      </w:r>
    </w:p>
  </w:footnote>
  <w:footnote w:type="continuationSeparator" w:id="0">
    <w:p w14:paraId="61EDC159" w14:textId="77777777" w:rsidR="00E41C94" w:rsidRDefault="00E41C94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38D2D87B" w:rsidR="00A4675F" w:rsidRDefault="00E602CA" w:rsidP="00A4675F">
          <w:pPr>
            <w:pStyle w:val="a3"/>
            <w:jc w:val="center"/>
          </w:pPr>
          <w:r w:rsidRPr="00E602CA">
            <w:rPr>
              <w:rFonts w:cs="Times New Roman" w:hint="eastAsia"/>
              <w:color w:val="000000" w:themeColor="text1"/>
            </w:rPr>
            <w:t>搶救大型石化工廠火災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101AA36D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770B12" w:rsidRPr="00770B12">
            <w:rPr>
              <w:kern w:val="0"/>
            </w:rPr>
            <w:t>SH-P4-01</w:t>
          </w:r>
          <w:r w:rsidR="00770B12" w:rsidRPr="00770B12">
            <w:rPr>
              <w:rFonts w:hint="eastAsia"/>
              <w:kern w:val="0"/>
            </w:rPr>
            <w:t>6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E6D7698"/>
    <w:multiLevelType w:val="hybridMultilevel"/>
    <w:tmpl w:val="4798E74C"/>
    <w:lvl w:ilvl="0" w:tplc="D4BE1C2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D514C2"/>
    <w:multiLevelType w:val="hybridMultilevel"/>
    <w:tmpl w:val="4798E74C"/>
    <w:lvl w:ilvl="0" w:tplc="D4BE1C2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2222B55"/>
    <w:multiLevelType w:val="hybridMultilevel"/>
    <w:tmpl w:val="4798E74C"/>
    <w:lvl w:ilvl="0" w:tplc="D4BE1C2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5B201F95"/>
    <w:multiLevelType w:val="hybridMultilevel"/>
    <w:tmpl w:val="4798E74C"/>
    <w:lvl w:ilvl="0" w:tplc="D4BE1C2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19570583">
    <w:abstractNumId w:val="8"/>
  </w:num>
  <w:num w:numId="2" w16cid:durableId="1483808543">
    <w:abstractNumId w:val="1"/>
  </w:num>
  <w:num w:numId="3" w16cid:durableId="423261855">
    <w:abstractNumId w:val="11"/>
  </w:num>
  <w:num w:numId="4" w16cid:durableId="1391268216">
    <w:abstractNumId w:val="0"/>
  </w:num>
  <w:num w:numId="5" w16cid:durableId="1113397651">
    <w:abstractNumId w:val="14"/>
  </w:num>
  <w:num w:numId="6" w16cid:durableId="1878420819">
    <w:abstractNumId w:val="22"/>
  </w:num>
  <w:num w:numId="7" w16cid:durableId="228156979">
    <w:abstractNumId w:val="5"/>
  </w:num>
  <w:num w:numId="8" w16cid:durableId="2033991216">
    <w:abstractNumId w:val="19"/>
  </w:num>
  <w:num w:numId="9" w16cid:durableId="1050228564">
    <w:abstractNumId w:val="7"/>
  </w:num>
  <w:num w:numId="10" w16cid:durableId="1754233828">
    <w:abstractNumId w:val="9"/>
  </w:num>
  <w:num w:numId="11" w16cid:durableId="1409620941">
    <w:abstractNumId w:val="17"/>
  </w:num>
  <w:num w:numId="12" w16cid:durableId="1197430413">
    <w:abstractNumId w:val="15"/>
  </w:num>
  <w:num w:numId="13" w16cid:durableId="865874547">
    <w:abstractNumId w:val="12"/>
  </w:num>
  <w:num w:numId="14" w16cid:durableId="1182400516">
    <w:abstractNumId w:val="2"/>
  </w:num>
  <w:num w:numId="15" w16cid:durableId="927617590">
    <w:abstractNumId w:val="21"/>
  </w:num>
  <w:num w:numId="16" w16cid:durableId="553851422">
    <w:abstractNumId w:val="2"/>
  </w:num>
  <w:num w:numId="17" w16cid:durableId="1277830890">
    <w:abstractNumId w:val="2"/>
  </w:num>
  <w:num w:numId="18" w16cid:durableId="2073652852">
    <w:abstractNumId w:val="3"/>
  </w:num>
  <w:num w:numId="19" w16cid:durableId="1436827215">
    <w:abstractNumId w:val="23"/>
  </w:num>
  <w:num w:numId="20" w16cid:durableId="1977047">
    <w:abstractNumId w:val="3"/>
  </w:num>
  <w:num w:numId="21" w16cid:durableId="1489788079">
    <w:abstractNumId w:val="3"/>
  </w:num>
  <w:num w:numId="22" w16cid:durableId="1858889930">
    <w:abstractNumId w:val="3"/>
  </w:num>
  <w:num w:numId="23" w16cid:durableId="1752776932">
    <w:abstractNumId w:val="3"/>
  </w:num>
  <w:num w:numId="24" w16cid:durableId="658389055">
    <w:abstractNumId w:val="3"/>
  </w:num>
  <w:num w:numId="25" w16cid:durableId="88933034">
    <w:abstractNumId w:val="10"/>
  </w:num>
  <w:num w:numId="26" w16cid:durableId="1080175669">
    <w:abstractNumId w:val="16"/>
  </w:num>
  <w:num w:numId="27" w16cid:durableId="1560244705">
    <w:abstractNumId w:val="6"/>
  </w:num>
  <w:num w:numId="28" w16cid:durableId="627052749">
    <w:abstractNumId w:val="24"/>
  </w:num>
  <w:num w:numId="29" w16cid:durableId="2066753870">
    <w:abstractNumId w:val="13"/>
  </w:num>
  <w:num w:numId="30" w16cid:durableId="110057945">
    <w:abstractNumId w:val="20"/>
  </w:num>
  <w:num w:numId="31" w16cid:durableId="750930672">
    <w:abstractNumId w:val="18"/>
  </w:num>
  <w:num w:numId="32" w16cid:durableId="17827277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5442A"/>
    <w:rsid w:val="000712F4"/>
    <w:rsid w:val="00084C23"/>
    <w:rsid w:val="00094E23"/>
    <w:rsid w:val="000F4A37"/>
    <w:rsid w:val="0015030B"/>
    <w:rsid w:val="00165E59"/>
    <w:rsid w:val="001A69F4"/>
    <w:rsid w:val="001C365C"/>
    <w:rsid w:val="001D11FC"/>
    <w:rsid w:val="001E0C19"/>
    <w:rsid w:val="001E1197"/>
    <w:rsid w:val="0020607F"/>
    <w:rsid w:val="00234E57"/>
    <w:rsid w:val="00237CC9"/>
    <w:rsid w:val="00237F9A"/>
    <w:rsid w:val="0027324A"/>
    <w:rsid w:val="00274C0F"/>
    <w:rsid w:val="00295DB6"/>
    <w:rsid w:val="002D2ED3"/>
    <w:rsid w:val="002D5DF9"/>
    <w:rsid w:val="002E6157"/>
    <w:rsid w:val="0034047D"/>
    <w:rsid w:val="00355618"/>
    <w:rsid w:val="00367762"/>
    <w:rsid w:val="00391343"/>
    <w:rsid w:val="003A5A2B"/>
    <w:rsid w:val="00403429"/>
    <w:rsid w:val="00404543"/>
    <w:rsid w:val="00452611"/>
    <w:rsid w:val="004703F0"/>
    <w:rsid w:val="00473972"/>
    <w:rsid w:val="00474591"/>
    <w:rsid w:val="0047652C"/>
    <w:rsid w:val="004B27FD"/>
    <w:rsid w:val="00506AA3"/>
    <w:rsid w:val="00544471"/>
    <w:rsid w:val="0055180D"/>
    <w:rsid w:val="00566077"/>
    <w:rsid w:val="005E3BEB"/>
    <w:rsid w:val="006305BE"/>
    <w:rsid w:val="006A2668"/>
    <w:rsid w:val="006B16C0"/>
    <w:rsid w:val="006C3682"/>
    <w:rsid w:val="006F4D2B"/>
    <w:rsid w:val="00701AB5"/>
    <w:rsid w:val="0075566B"/>
    <w:rsid w:val="007671E6"/>
    <w:rsid w:val="00770B12"/>
    <w:rsid w:val="00772C90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A11FD"/>
    <w:rsid w:val="009143DA"/>
    <w:rsid w:val="00932BC7"/>
    <w:rsid w:val="00952C8F"/>
    <w:rsid w:val="009A17B1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C06D1"/>
    <w:rsid w:val="00AC6A3D"/>
    <w:rsid w:val="00AC7B0E"/>
    <w:rsid w:val="00AE517D"/>
    <w:rsid w:val="00AE64C6"/>
    <w:rsid w:val="00AF3DC5"/>
    <w:rsid w:val="00AF4A66"/>
    <w:rsid w:val="00B1196E"/>
    <w:rsid w:val="00B20487"/>
    <w:rsid w:val="00B21139"/>
    <w:rsid w:val="00B3303B"/>
    <w:rsid w:val="00BB5234"/>
    <w:rsid w:val="00BC3935"/>
    <w:rsid w:val="00BE030D"/>
    <w:rsid w:val="00BE49BC"/>
    <w:rsid w:val="00C57E47"/>
    <w:rsid w:val="00C767B6"/>
    <w:rsid w:val="00CB1E77"/>
    <w:rsid w:val="00CB5EA5"/>
    <w:rsid w:val="00CD6EA7"/>
    <w:rsid w:val="00CF1BDC"/>
    <w:rsid w:val="00D0678D"/>
    <w:rsid w:val="00D41CAA"/>
    <w:rsid w:val="00D47604"/>
    <w:rsid w:val="00DA03D2"/>
    <w:rsid w:val="00DE72B5"/>
    <w:rsid w:val="00DF13A1"/>
    <w:rsid w:val="00E24B86"/>
    <w:rsid w:val="00E41C94"/>
    <w:rsid w:val="00E44361"/>
    <w:rsid w:val="00E551DA"/>
    <w:rsid w:val="00E602CA"/>
    <w:rsid w:val="00E71BE8"/>
    <w:rsid w:val="00E8640F"/>
    <w:rsid w:val="00EB6B04"/>
    <w:rsid w:val="00EE36B7"/>
    <w:rsid w:val="00F11A3F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  <w:rsid w:val="00FD1BAF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7002-D6CB-4316-9253-81970F7C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23</cp:revision>
  <cp:lastPrinted>2024-11-27T01:27:00Z</cp:lastPrinted>
  <dcterms:created xsi:type="dcterms:W3CDTF">2024-09-04T03:15:00Z</dcterms:created>
  <dcterms:modified xsi:type="dcterms:W3CDTF">2024-11-27T01:27:00Z</dcterms:modified>
</cp:coreProperties>
</file>