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355517C7" w:rsidR="00473972" w:rsidRPr="008226BD" w:rsidRDefault="006C28FE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6C28FE">
        <w:rPr>
          <w:rFonts w:hint="eastAsia"/>
          <w:b/>
          <w:bCs/>
          <w:sz w:val="48"/>
          <w:szCs w:val="44"/>
        </w:rPr>
        <w:t>廳舍設備安全衛生</w:t>
      </w:r>
      <w:r w:rsidR="00473972" w:rsidRPr="008226BD">
        <w:rPr>
          <w:rFonts w:hint="eastAsia"/>
          <w:b/>
          <w:bCs/>
          <w:sz w:val="48"/>
          <w:szCs w:val="44"/>
        </w:rPr>
        <w:t>管理程序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0B908E79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DD66B7">
              <w:rPr>
                <w:rFonts w:hint="eastAsia"/>
                <w:sz w:val="32"/>
                <w:szCs w:val="28"/>
              </w:rPr>
              <w:t>S</w:t>
            </w:r>
            <w:r w:rsidR="00DD66B7">
              <w:rPr>
                <w:sz w:val="32"/>
                <w:szCs w:val="28"/>
              </w:rPr>
              <w:t>H-P1-002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6D356F0D" w14:textId="0CE95A22" w:rsidR="00752BC6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752BC6">
        <w:rPr>
          <w:rFonts w:hint="eastAsia"/>
          <w:noProof/>
        </w:rPr>
        <w:t>一、</w:t>
      </w:r>
      <w:r w:rsidR="00752BC6">
        <w:rPr>
          <w:rFonts w:hint="eastAsia"/>
          <w:noProof/>
        </w:rPr>
        <w:t xml:space="preserve"> </w:t>
      </w:r>
      <w:r w:rsidR="00752BC6">
        <w:rPr>
          <w:rFonts w:hint="eastAsia"/>
          <w:noProof/>
        </w:rPr>
        <w:t>目的</w:t>
      </w:r>
      <w:r w:rsidR="00752BC6">
        <w:rPr>
          <w:noProof/>
        </w:rPr>
        <w:tab/>
      </w:r>
      <w:r w:rsidR="00752BC6">
        <w:rPr>
          <w:noProof/>
        </w:rPr>
        <w:fldChar w:fldCharType="begin"/>
      </w:r>
      <w:r w:rsidR="00752BC6">
        <w:rPr>
          <w:noProof/>
        </w:rPr>
        <w:instrText xml:space="preserve"> PAGEREF _Toc177899139 \h </w:instrText>
      </w:r>
      <w:r w:rsidR="00752BC6">
        <w:rPr>
          <w:noProof/>
        </w:rPr>
      </w:r>
      <w:r w:rsidR="00752BC6">
        <w:rPr>
          <w:noProof/>
        </w:rPr>
        <w:fldChar w:fldCharType="separate"/>
      </w:r>
      <w:r w:rsidR="00752BC6">
        <w:rPr>
          <w:noProof/>
        </w:rPr>
        <w:t>1</w:t>
      </w:r>
      <w:r w:rsidR="00752BC6">
        <w:rPr>
          <w:noProof/>
        </w:rPr>
        <w:fldChar w:fldCharType="end"/>
      </w:r>
    </w:p>
    <w:p w14:paraId="35F24447" w14:textId="7907FD0A" w:rsidR="00752BC6" w:rsidRDefault="00752BC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A3229B1" w14:textId="3C4F480E" w:rsidR="00752BC6" w:rsidRDefault="00752BC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176333B" w14:textId="3664000D" w:rsidR="00752BC6" w:rsidRDefault="00752BC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E9846AA" w14:textId="2A7F0B5D" w:rsidR="00752BC6" w:rsidRDefault="00752BC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2DB8E46" w14:textId="77DD248E" w:rsidR="00752BC6" w:rsidRDefault="00752BC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 w:rsidRPr="009B063C">
        <w:rPr>
          <w:rFonts w:cs="Times New Roman" w:hint="eastAsia"/>
          <w:noProof/>
        </w:rPr>
        <w:t xml:space="preserve"> </w:t>
      </w:r>
      <w:r w:rsidRPr="009B063C">
        <w:rPr>
          <w:rFonts w:cs="Times New Roman" w:hint="eastAsia"/>
          <w:noProof/>
        </w:rPr>
        <w:t>設備識別與登錄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BEDD4D8" w14:textId="5D9225CF" w:rsidR="00752BC6" w:rsidRDefault="00752BC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風險識別與評估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E0B2BE7" w14:textId="361CABDA" w:rsidR="00752BC6" w:rsidRDefault="00752BC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 w:rsidRPr="009B063C">
        <w:rPr>
          <w:rFonts w:cs="Times New Roman" w:hint="eastAsia"/>
          <w:noProof/>
        </w:rPr>
        <w:t xml:space="preserve"> </w:t>
      </w:r>
      <w:r w:rsidRPr="009B063C">
        <w:rPr>
          <w:rFonts w:cs="Times New Roman" w:hint="eastAsia"/>
          <w:noProof/>
        </w:rPr>
        <w:t>定期檢查與維護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DA007B1" w14:textId="64753971" w:rsidR="00752BC6" w:rsidRDefault="00752BC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5.4</w:t>
      </w:r>
      <w:r w:rsidRPr="009B063C">
        <w:rPr>
          <w:rFonts w:cs="Times New Roman" w:hint="eastAsia"/>
          <w:noProof/>
        </w:rPr>
        <w:t xml:space="preserve"> </w:t>
      </w:r>
      <w:r w:rsidRPr="009B063C">
        <w:rPr>
          <w:rFonts w:cs="Times New Roman" w:hint="eastAsia"/>
          <w:noProof/>
        </w:rPr>
        <w:t>監督與量測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F541C24" w14:textId="0F1C343D" w:rsidR="00752BC6" w:rsidRDefault="00752BC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教育訓練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8C8813F" w14:textId="5865ED87" w:rsidR="00752BC6" w:rsidRDefault="00752BC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5.6</w:t>
      </w:r>
      <w:r w:rsidRPr="009B063C">
        <w:rPr>
          <w:rFonts w:cs="Times New Roman" w:hint="eastAsia"/>
          <w:noProof/>
        </w:rPr>
        <w:t xml:space="preserve"> </w:t>
      </w:r>
      <w:r w:rsidRPr="009B063C">
        <w:rPr>
          <w:rFonts w:cs="Times New Roman" w:hint="eastAsia"/>
          <w:noProof/>
        </w:rPr>
        <w:t>紀錄與報告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F132495" w14:textId="497EE1A3" w:rsidR="00752BC6" w:rsidRDefault="00752BC6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 w:rsidRPr="009B063C">
        <w:rPr>
          <w:rFonts w:cs="Times New Roman"/>
          <w:noProof/>
        </w:rPr>
        <w:t>5.7</w:t>
      </w:r>
      <w:r w:rsidRPr="009B063C">
        <w:rPr>
          <w:rFonts w:cs="Times New Roman" w:hint="eastAsia"/>
          <w:noProof/>
        </w:rPr>
        <w:t xml:space="preserve"> </w:t>
      </w:r>
      <w:r w:rsidRPr="009B063C">
        <w:rPr>
          <w:rFonts w:cs="Times New Roman" w:hint="eastAsia"/>
          <w:noProof/>
        </w:rPr>
        <w:t>持續改進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C6F21AD" w14:textId="55597264" w:rsidR="00752BC6" w:rsidRDefault="00752BC6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3306CB3" w14:textId="0E6BB082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899139"/>
      <w:r>
        <w:rPr>
          <w:rFonts w:hint="eastAsia"/>
        </w:rPr>
        <w:lastRenderedPageBreak/>
        <w:t>目的</w:t>
      </w:r>
      <w:bookmarkEnd w:id="0"/>
    </w:p>
    <w:p w14:paraId="22698CD6" w14:textId="4B043AC8" w:rsidR="00044380" w:rsidRDefault="00E05370" w:rsidP="00044380">
      <w:pPr>
        <w:widowControl/>
      </w:pPr>
      <w:r>
        <w:rPr>
          <w:rFonts w:cs="Times New Roman" w:hint="eastAsia"/>
        </w:rPr>
        <w:t>為規範</w:t>
      </w:r>
      <w:r w:rsidRPr="00E666AF">
        <w:rPr>
          <w:rFonts w:cs="Times New Roman" w:hint="eastAsia"/>
        </w:rPr>
        <w:t>定期監督與量測方式管理</w:t>
      </w:r>
      <w:r>
        <w:rPr>
          <w:rFonts w:cs="Times New Roman" w:hint="eastAsia"/>
        </w:rPr>
        <w:t>廳舍內各項設備</w:t>
      </w:r>
      <w:r w:rsidRPr="00E666AF">
        <w:rPr>
          <w:rFonts w:cs="Times New Roman" w:hint="eastAsia"/>
        </w:rPr>
        <w:t>造成人員安全衛生之不可接受之風險管理的作業或活動，以衡量管理系統執行績效</w:t>
      </w:r>
      <w:r w:rsidR="006F4D2B" w:rsidRPr="006F4D2B">
        <w:rPr>
          <w:rFonts w:hint="eastAsia"/>
        </w:rPr>
        <w:t>。</w:t>
      </w:r>
    </w:p>
    <w:p w14:paraId="11904347" w14:textId="77777777" w:rsidR="00F24BAB" w:rsidRDefault="00F24BAB" w:rsidP="00044380">
      <w:pPr>
        <w:widowControl/>
        <w:ind w:left="480"/>
      </w:pPr>
    </w:p>
    <w:p w14:paraId="118EF54C" w14:textId="54CB997A" w:rsidR="00044380" w:rsidRDefault="00044380" w:rsidP="00B21139">
      <w:pPr>
        <w:pStyle w:val="1"/>
      </w:pPr>
      <w:bookmarkStart w:id="1" w:name="_Toc177899140"/>
      <w:r>
        <w:rPr>
          <w:rFonts w:hint="eastAsia"/>
        </w:rPr>
        <w:t>範圍</w:t>
      </w:r>
      <w:bookmarkEnd w:id="1"/>
    </w:p>
    <w:p w14:paraId="070AD96A" w14:textId="131262CD" w:rsidR="00044380" w:rsidRDefault="00E05370" w:rsidP="00044380">
      <w:pPr>
        <w:widowControl/>
      </w:pPr>
      <w:r>
        <w:rPr>
          <w:rFonts w:cs="Times New Roman" w:hint="eastAsia"/>
        </w:rPr>
        <w:t>適用於廳舍範圍內之各項設備，如各類消防車、消防泵、空氣呼吸器、對講機、滅火器、急救箱、</w:t>
      </w:r>
      <w:r w:rsidRPr="00383F36">
        <w:rPr>
          <w:rFonts w:cs="Times New Roman" w:hint="eastAsia"/>
        </w:rPr>
        <w:t>自動體外心臟</w:t>
      </w:r>
      <w:proofErr w:type="gramStart"/>
      <w:r w:rsidRPr="00383F36">
        <w:rPr>
          <w:rFonts w:cs="Times New Roman" w:hint="eastAsia"/>
        </w:rPr>
        <w:t>除顫器</w:t>
      </w:r>
      <w:proofErr w:type="gramEnd"/>
      <w:r w:rsidRPr="00383F36">
        <w:rPr>
          <w:rFonts w:cs="Times New Roman" w:hint="eastAsia"/>
        </w:rPr>
        <w:t>（</w:t>
      </w:r>
      <w:r w:rsidRPr="00383F36">
        <w:rPr>
          <w:rFonts w:cs="Times New Roman" w:hint="eastAsia"/>
        </w:rPr>
        <w:t>AED</w:t>
      </w:r>
      <w:r w:rsidRPr="00383F36">
        <w:rPr>
          <w:rFonts w:cs="Times New Roman" w:hint="eastAsia"/>
        </w:rPr>
        <w:t>）</w:t>
      </w:r>
      <w:r>
        <w:rPr>
          <w:rFonts w:cs="Times New Roman" w:hint="eastAsia"/>
        </w:rPr>
        <w:t>、排煙機及風扇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>…</w:t>
      </w:r>
      <w:proofErr w:type="gramEnd"/>
      <w:r>
        <w:rPr>
          <w:rFonts w:cs="Times New Roman" w:hint="eastAsia"/>
        </w:rPr>
        <w:t>等</w:t>
      </w:r>
      <w:r w:rsidR="00797FDE" w:rsidRPr="00797FDE">
        <w:rPr>
          <w:rFonts w:hint="eastAsia"/>
        </w:rPr>
        <w:t>。</w:t>
      </w:r>
    </w:p>
    <w:p w14:paraId="363D6693" w14:textId="77777777" w:rsidR="00797FDE" w:rsidRDefault="00797FDE" w:rsidP="00044380">
      <w:pPr>
        <w:widowControl/>
        <w:ind w:left="480"/>
      </w:pPr>
    </w:p>
    <w:p w14:paraId="1E6F7AE1" w14:textId="6046A3B7" w:rsidR="00044380" w:rsidRDefault="00044380" w:rsidP="00B21139">
      <w:pPr>
        <w:pStyle w:val="1"/>
      </w:pPr>
      <w:bookmarkStart w:id="2" w:name="_Toc177899141"/>
      <w:r>
        <w:rPr>
          <w:rFonts w:hint="eastAsia"/>
        </w:rPr>
        <w:t>名詞解釋</w:t>
      </w:r>
      <w:bookmarkEnd w:id="2"/>
    </w:p>
    <w:p w14:paraId="734DC8F1" w14:textId="6B965785" w:rsidR="00DF13A1" w:rsidRDefault="00E05370" w:rsidP="00DF13A1">
      <w:pPr>
        <w:widowControl/>
      </w:pPr>
      <w:r>
        <w:rPr>
          <w:rFonts w:hint="eastAsia"/>
        </w:rPr>
        <w:t>設備</w:t>
      </w:r>
      <w:r w:rsidR="00DF13A1">
        <w:rPr>
          <w:rFonts w:hint="eastAsia"/>
        </w:rPr>
        <w:t>：</w:t>
      </w:r>
    </w:p>
    <w:p w14:paraId="3F48A447" w14:textId="43EBD217" w:rsidR="00DF13A1" w:rsidRDefault="00E05370" w:rsidP="00DD66B7">
      <w:pPr>
        <w:widowControl/>
        <w:ind w:leftChars="200" w:left="480"/>
      </w:pPr>
      <w:r w:rsidRPr="00383F36">
        <w:rPr>
          <w:rFonts w:cs="Times New Roman" w:hint="eastAsia"/>
        </w:rPr>
        <w:t>是指一群中</w:t>
      </w:r>
      <w:r>
        <w:rPr>
          <w:rFonts w:cs="Times New Roman" w:hint="eastAsia"/>
        </w:rPr>
        <w:t>、</w:t>
      </w:r>
      <w:r w:rsidRPr="00383F36">
        <w:rPr>
          <w:rFonts w:cs="Times New Roman" w:hint="eastAsia"/>
        </w:rPr>
        <w:t>大型的機具器材</w:t>
      </w:r>
      <w:r>
        <w:rPr>
          <w:rFonts w:cs="Times New Roman" w:hint="eastAsia"/>
        </w:rPr>
        <w:t>的</w:t>
      </w:r>
      <w:r w:rsidRPr="00383F36">
        <w:rPr>
          <w:rFonts w:cs="Times New Roman" w:hint="eastAsia"/>
        </w:rPr>
        <w:t>集合體</w:t>
      </w:r>
      <w:r>
        <w:rPr>
          <w:rFonts w:cs="Times New Roman" w:hint="eastAsia"/>
        </w:rPr>
        <w:t>，這些東西不能拿在</w:t>
      </w:r>
      <w:r w:rsidRPr="00383F36">
        <w:rPr>
          <w:rFonts w:cs="Times New Roman" w:hint="eastAsia"/>
        </w:rPr>
        <w:t>手</w:t>
      </w:r>
      <w:r>
        <w:rPr>
          <w:rFonts w:cs="Times New Roman" w:hint="eastAsia"/>
        </w:rPr>
        <w:t>上</w:t>
      </w:r>
      <w:r w:rsidRPr="00383F36">
        <w:rPr>
          <w:rFonts w:cs="Times New Roman" w:hint="eastAsia"/>
        </w:rPr>
        <w:t>操作，必須放在固定</w:t>
      </w:r>
      <w:proofErr w:type="gramStart"/>
      <w:r w:rsidRPr="00383F36">
        <w:rPr>
          <w:rFonts w:cs="Times New Roman" w:hint="eastAsia"/>
        </w:rPr>
        <w:t>的台座上</w:t>
      </w:r>
      <w:proofErr w:type="gramEnd"/>
      <w:r w:rsidRPr="00383F36">
        <w:rPr>
          <w:rFonts w:cs="Times New Roman" w:hint="eastAsia"/>
        </w:rPr>
        <w:t>，並且通常需要電力或其他動力來運作，而不是靠人力直接操作</w:t>
      </w:r>
      <w:r w:rsidR="00DF13A1">
        <w:rPr>
          <w:rFonts w:hint="eastAsia"/>
        </w:rPr>
        <w:t>。</w:t>
      </w:r>
    </w:p>
    <w:p w14:paraId="75D91003" w14:textId="5E6665D8" w:rsidR="00E05370" w:rsidRDefault="00E05370">
      <w:pPr>
        <w:widowControl/>
        <w:jc w:val="left"/>
      </w:pPr>
    </w:p>
    <w:p w14:paraId="4DC62624" w14:textId="5FDA893E" w:rsidR="00044380" w:rsidRDefault="00044380" w:rsidP="00B21139">
      <w:pPr>
        <w:pStyle w:val="1"/>
      </w:pPr>
      <w:bookmarkStart w:id="3" w:name="_Toc177899142"/>
      <w:r>
        <w:rPr>
          <w:rFonts w:hint="eastAsia"/>
        </w:rPr>
        <w:t>作業程序</w:t>
      </w:r>
      <w:bookmarkEnd w:id="3"/>
    </w:p>
    <w:p w14:paraId="5DCFF187" w14:textId="04F76F4B" w:rsidR="00AC4987" w:rsidRDefault="00F35D5B" w:rsidP="00F35D5B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23754AFE" wp14:editId="2746C45F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C782C0" w14:textId="6F6DC8BF" w:rsidR="00F35D5B" w:rsidRDefault="00F35D5B" w:rsidP="00F35D5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廳舍設備安全衛生管理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EFE2CF" w14:textId="77777777" w:rsidR="00F35D5B" w:rsidRDefault="00F35D5B" w:rsidP="00F35D5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風險識別與評估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DCD79E" w14:textId="586307D3" w:rsidR="00F35D5B" w:rsidRPr="005F0A5B" w:rsidRDefault="00AB538E" w:rsidP="00F35D5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人員教育訓練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48BFFC" w14:textId="5F9E311B" w:rsidR="00F35D5B" w:rsidRPr="005F0A5B" w:rsidRDefault="00F35D5B" w:rsidP="00F35D5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定檢與維護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F9FC7D" w14:textId="77777777" w:rsidR="00F35D5B" w:rsidRPr="00FE71A6" w:rsidRDefault="00F35D5B" w:rsidP="00F35D5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582E5C" w14:textId="77777777" w:rsidR="00F35D5B" w:rsidRDefault="00F35D5B" w:rsidP="00F35D5B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紀錄與報告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754AFE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49C782C0" w14:textId="6F6DC8BF" w:rsidR="00F35D5B" w:rsidRDefault="00F35D5B" w:rsidP="00F35D5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廳舍設備安全衛生管理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05EFE2CF" w14:textId="77777777" w:rsidR="00F35D5B" w:rsidRDefault="00F35D5B" w:rsidP="00F35D5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風險識別與評估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5EDCD79E" w14:textId="586307D3" w:rsidR="00F35D5B" w:rsidRPr="005F0A5B" w:rsidRDefault="00AB538E" w:rsidP="00F35D5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人員教育訓練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5948BFFC" w14:textId="5F9E311B" w:rsidR="00F35D5B" w:rsidRPr="005F0A5B" w:rsidRDefault="00F35D5B" w:rsidP="00F35D5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定檢與維護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56F9FC7D" w14:textId="77777777" w:rsidR="00F35D5B" w:rsidRPr="00FE71A6" w:rsidRDefault="00F35D5B" w:rsidP="00F35D5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應變計畫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4F582E5C" w14:textId="77777777" w:rsidR="00F35D5B" w:rsidRDefault="00F35D5B" w:rsidP="00F35D5B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紀錄與報告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37966CC4" w14:textId="77777777" w:rsidR="00AC4987" w:rsidRPr="00AC4987" w:rsidRDefault="00AC4987" w:rsidP="00AC4987">
      <w:pPr>
        <w:widowControl/>
        <w:ind w:left="480"/>
        <w:rPr>
          <w:color w:val="FF0000"/>
        </w:rPr>
      </w:pPr>
    </w:p>
    <w:p w14:paraId="214BC5CF" w14:textId="218AE6D7" w:rsidR="00044380" w:rsidRDefault="00044380" w:rsidP="00FB4704">
      <w:pPr>
        <w:pStyle w:val="1"/>
      </w:pPr>
      <w:bookmarkStart w:id="4" w:name="_Toc177899143"/>
      <w:r>
        <w:rPr>
          <w:rFonts w:hint="eastAsia"/>
        </w:rPr>
        <w:lastRenderedPageBreak/>
        <w:t>作業內容</w:t>
      </w:r>
      <w:bookmarkEnd w:id="4"/>
    </w:p>
    <w:p w14:paraId="734103DC" w14:textId="40894F68" w:rsidR="0075566B" w:rsidRDefault="00E05370" w:rsidP="00F759B0">
      <w:pPr>
        <w:pStyle w:val="2"/>
      </w:pPr>
      <w:bookmarkStart w:id="5" w:name="_Toc177899144"/>
      <w:r w:rsidRPr="00A36FA1">
        <w:rPr>
          <w:rFonts w:cs="Times New Roman" w:hint="eastAsia"/>
        </w:rPr>
        <w:t>設備識別與登錄</w:t>
      </w:r>
      <w:bookmarkEnd w:id="5"/>
    </w:p>
    <w:p w14:paraId="203DFF8B" w14:textId="1FE67CCE" w:rsidR="0075566B" w:rsidRDefault="00E05370" w:rsidP="00752BC6">
      <w:pPr>
        <w:pStyle w:val="a8"/>
        <w:numPr>
          <w:ilvl w:val="0"/>
          <w:numId w:val="30"/>
        </w:numPr>
        <w:ind w:leftChars="0"/>
      </w:pPr>
      <w:r>
        <w:rPr>
          <w:rFonts w:hint="eastAsia"/>
        </w:rPr>
        <w:t>設備清單建置</w:t>
      </w:r>
    </w:p>
    <w:p w14:paraId="05812B47" w14:textId="22B0DC9A" w:rsidR="0075566B" w:rsidRDefault="00E05370" w:rsidP="00752BC6">
      <w:pPr>
        <w:pStyle w:val="a8"/>
        <w:ind w:leftChars="0" w:left="530"/>
      </w:pPr>
      <w:r>
        <w:rPr>
          <w:rFonts w:cs="Times New Roman" w:hint="eastAsia"/>
        </w:rPr>
        <w:t>制定並維護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份詳細的設備清單，包括每台設備的名稱、型號、序</w:t>
      </w:r>
      <w:r w:rsidRPr="00A36FA1">
        <w:rPr>
          <w:rFonts w:cs="Times New Roman" w:hint="eastAsia"/>
        </w:rPr>
        <w:t>號、購置日期、使用壽命、安置位置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>…</w:t>
      </w:r>
      <w:proofErr w:type="gramEnd"/>
      <w:r w:rsidRPr="00A36FA1">
        <w:rPr>
          <w:rFonts w:cs="Times New Roman" w:hint="eastAsia"/>
        </w:rPr>
        <w:t>等。每台設備需賦予唯一的識別編號，便於</w:t>
      </w:r>
      <w:r>
        <w:rPr>
          <w:rFonts w:cs="Times New Roman" w:hint="eastAsia"/>
        </w:rPr>
        <w:t>追蹤管理。新購設備需在入庫時立即登錄，並對使用人員進行相關培訓</w:t>
      </w:r>
      <w:r w:rsidR="0075566B">
        <w:rPr>
          <w:rFonts w:hint="eastAsia"/>
        </w:rPr>
        <w:t>。</w:t>
      </w:r>
    </w:p>
    <w:p w14:paraId="4765E39D" w14:textId="34ED2CDA" w:rsidR="0075566B" w:rsidRDefault="00E05370" w:rsidP="00752BC6">
      <w:pPr>
        <w:pStyle w:val="a8"/>
        <w:numPr>
          <w:ilvl w:val="0"/>
          <w:numId w:val="30"/>
        </w:numPr>
        <w:ind w:leftChars="0"/>
      </w:pPr>
      <w:r w:rsidRPr="00A36FA1">
        <w:rPr>
          <w:rFonts w:cs="Times New Roman" w:hint="eastAsia"/>
        </w:rPr>
        <w:t>設備標籤管理</w:t>
      </w:r>
    </w:p>
    <w:p w14:paraId="2AD9C6F1" w14:textId="5350A87F" w:rsidR="0075566B" w:rsidRDefault="00E05370" w:rsidP="00752BC6">
      <w:pPr>
        <w:pStyle w:val="a8"/>
        <w:ind w:leftChars="0" w:left="530"/>
      </w:pPr>
      <w:r w:rsidRPr="00A36FA1">
        <w:rPr>
          <w:rFonts w:cs="Times New Roman" w:hint="eastAsia"/>
        </w:rPr>
        <w:t>為所有設備貼上標籤，包含識別編號</w:t>
      </w:r>
      <w:r>
        <w:rPr>
          <w:rFonts w:cs="Times New Roman" w:hint="eastAsia"/>
        </w:rPr>
        <w:t>、檢查日期、下次檢查日期等關鍵訊息。並且定期核對標籤信息以確保無誤</w:t>
      </w:r>
      <w:r w:rsidR="0075566B">
        <w:rPr>
          <w:rFonts w:hint="eastAsia"/>
        </w:rPr>
        <w:t>。</w:t>
      </w:r>
    </w:p>
    <w:p w14:paraId="540D6B0D" w14:textId="535602AC" w:rsidR="0075566B" w:rsidRDefault="00E05370" w:rsidP="00AE517D">
      <w:pPr>
        <w:pStyle w:val="2"/>
      </w:pPr>
      <w:bookmarkStart w:id="6" w:name="_Toc177899145"/>
      <w:r>
        <w:rPr>
          <w:rFonts w:hint="eastAsia"/>
        </w:rPr>
        <w:t>風險</w:t>
      </w:r>
      <w:r w:rsidR="00DD66B7">
        <w:rPr>
          <w:rFonts w:hint="eastAsia"/>
        </w:rPr>
        <w:t>識別與</w:t>
      </w:r>
      <w:r>
        <w:rPr>
          <w:rFonts w:hint="eastAsia"/>
        </w:rPr>
        <w:t>評估</w:t>
      </w:r>
      <w:bookmarkEnd w:id="6"/>
    </w:p>
    <w:p w14:paraId="5CD9CA6A" w14:textId="57260F53" w:rsidR="0075566B" w:rsidRDefault="00E05370" w:rsidP="00752BC6">
      <w:pPr>
        <w:pStyle w:val="a8"/>
        <w:numPr>
          <w:ilvl w:val="0"/>
          <w:numId w:val="31"/>
        </w:numPr>
        <w:ind w:leftChars="0"/>
      </w:pPr>
      <w:r>
        <w:rPr>
          <w:rFonts w:cs="Times New Roman" w:hint="eastAsia"/>
        </w:rPr>
        <w:t>風險識別</w:t>
      </w:r>
    </w:p>
    <w:p w14:paraId="2A373188" w14:textId="31AA45C3" w:rsidR="0075566B" w:rsidRDefault="00E05370" w:rsidP="00752BC6">
      <w:pPr>
        <w:pStyle w:val="a8"/>
        <w:ind w:leftChars="0" w:left="530"/>
      </w:pPr>
      <w:r w:rsidRPr="00A36FA1">
        <w:rPr>
          <w:rFonts w:cs="Times New Roman" w:hint="eastAsia"/>
        </w:rPr>
        <w:t>定期對所有設備進行風險識別，評估潛在的危害因素，如操作不當、設備老化、維護不當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>…</w:t>
      </w:r>
      <w:proofErr w:type="gramEnd"/>
      <w:r w:rsidRPr="00A36FA1">
        <w:rPr>
          <w:rFonts w:cs="Times New Roman" w:hint="eastAsia"/>
        </w:rPr>
        <w:t>等。將設備</w:t>
      </w:r>
      <w:r>
        <w:rPr>
          <w:rFonts w:cs="Times New Roman" w:hint="eastAsia"/>
        </w:rPr>
        <w:t>之風險識別結果依</w:t>
      </w:r>
      <w:r w:rsidRPr="00A36FA1">
        <w:rPr>
          <w:rFonts w:cs="Times New Roman" w:hint="eastAsia"/>
        </w:rPr>
        <w:t>等級進行分類，以制定相應的管理和維護計劃</w:t>
      </w:r>
      <w:r w:rsidR="0075566B">
        <w:rPr>
          <w:rFonts w:hint="eastAsia"/>
        </w:rPr>
        <w:t>。</w:t>
      </w:r>
    </w:p>
    <w:p w14:paraId="350142D2" w14:textId="4F06EA76" w:rsidR="0075566B" w:rsidRDefault="00E05370" w:rsidP="00752BC6">
      <w:pPr>
        <w:pStyle w:val="a8"/>
        <w:numPr>
          <w:ilvl w:val="0"/>
          <w:numId w:val="31"/>
        </w:numPr>
        <w:ind w:leftChars="0"/>
        <w:rPr>
          <w:rFonts w:cs="Times New Roman"/>
        </w:rPr>
      </w:pPr>
      <w:r>
        <w:rPr>
          <w:rFonts w:cs="Times New Roman" w:hint="eastAsia"/>
        </w:rPr>
        <w:t>風險評估方法</w:t>
      </w:r>
    </w:p>
    <w:p w14:paraId="575D96FE" w14:textId="476275D1" w:rsidR="00E05370" w:rsidRPr="00E05370" w:rsidRDefault="00E05370" w:rsidP="00752BC6">
      <w:pPr>
        <w:pStyle w:val="a8"/>
        <w:ind w:leftChars="0" w:left="530"/>
      </w:pPr>
      <w:r>
        <w:rPr>
          <w:rFonts w:cs="Times New Roman" w:hint="eastAsia"/>
        </w:rPr>
        <w:t>採用</w:t>
      </w:r>
      <w:r w:rsidRPr="00A36FA1">
        <w:rPr>
          <w:rFonts w:cs="Times New Roman" w:hint="eastAsia"/>
        </w:rPr>
        <w:t>如</w:t>
      </w:r>
      <w:r w:rsidRPr="00A36FA1">
        <w:rPr>
          <w:rFonts w:cs="Times New Roman" w:hint="eastAsia"/>
        </w:rPr>
        <w:t>FMEA</w:t>
      </w:r>
      <w:r w:rsidRPr="00A36FA1">
        <w:rPr>
          <w:rFonts w:cs="Times New Roman" w:hint="eastAsia"/>
        </w:rPr>
        <w:t>（失效模式與影響分析）或</w:t>
      </w:r>
      <w:r w:rsidRPr="00A36FA1">
        <w:rPr>
          <w:rFonts w:cs="Times New Roman" w:hint="eastAsia"/>
        </w:rPr>
        <w:t>HAZOP</w:t>
      </w:r>
      <w:r w:rsidRPr="00A36FA1">
        <w:rPr>
          <w:rFonts w:cs="Times New Roman" w:hint="eastAsia"/>
        </w:rPr>
        <w:t>（危害與可操作性研究）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>…</w:t>
      </w:r>
      <w:proofErr w:type="gramEnd"/>
      <w:r>
        <w:rPr>
          <w:rFonts w:cs="Times New Roman" w:hint="eastAsia"/>
        </w:rPr>
        <w:t>等方法，對設備的風險進行評估並</w:t>
      </w:r>
      <w:r w:rsidRPr="00A36FA1">
        <w:rPr>
          <w:rFonts w:cs="Times New Roman" w:hint="eastAsia"/>
        </w:rPr>
        <w:t>記錄</w:t>
      </w:r>
      <w:r>
        <w:rPr>
          <w:rFonts w:cs="Times New Roman" w:hint="eastAsia"/>
        </w:rPr>
        <w:t>結果，再</w:t>
      </w:r>
      <w:r w:rsidRPr="00A36FA1">
        <w:rPr>
          <w:rFonts w:cs="Times New Roman" w:hint="eastAsia"/>
        </w:rPr>
        <w:t>根據結果</w:t>
      </w:r>
      <w:r>
        <w:rPr>
          <w:rFonts w:cs="Times New Roman" w:hint="eastAsia"/>
        </w:rPr>
        <w:t>制定</w:t>
      </w:r>
      <w:r w:rsidRPr="00A36FA1">
        <w:rPr>
          <w:rFonts w:cs="Times New Roman" w:hint="eastAsia"/>
        </w:rPr>
        <w:t>必要的控制措施</w:t>
      </w:r>
      <w:r>
        <w:rPr>
          <w:rFonts w:cs="Times New Roman" w:hint="eastAsia"/>
        </w:rPr>
        <w:t>。</w:t>
      </w:r>
    </w:p>
    <w:p w14:paraId="699084A5" w14:textId="57944A14" w:rsidR="0075566B" w:rsidRDefault="00E05370" w:rsidP="00AE517D">
      <w:pPr>
        <w:pStyle w:val="2"/>
      </w:pPr>
      <w:bookmarkStart w:id="7" w:name="_Toc177899146"/>
      <w:r>
        <w:rPr>
          <w:rFonts w:cs="Times New Roman" w:hint="eastAsia"/>
        </w:rPr>
        <w:t>定期檢查與維護</w:t>
      </w:r>
      <w:bookmarkEnd w:id="7"/>
    </w:p>
    <w:p w14:paraId="683D98C9" w14:textId="17CDDFEC" w:rsidR="0075566B" w:rsidRDefault="00E05370" w:rsidP="00752BC6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檢查計畫制定</w:t>
      </w:r>
    </w:p>
    <w:p w14:paraId="1E1B57F9" w14:textId="598C9700" w:rsidR="0075566B" w:rsidRDefault="00E05370" w:rsidP="00752BC6">
      <w:pPr>
        <w:pStyle w:val="a8"/>
        <w:ind w:leftChars="0" w:left="530"/>
      </w:pPr>
      <w:r w:rsidRPr="00A36FA1">
        <w:rPr>
          <w:rFonts w:cs="Times New Roman" w:hint="eastAsia"/>
        </w:rPr>
        <w:t>為所有設備制定詳細的檢查計劃，根據設備的風險等級和使用頻率規定檢查頻率（如每日、每週、每月、每季度或每年），並具體列明檢查項目和標準</w:t>
      </w:r>
      <w:r w:rsidR="0075566B">
        <w:rPr>
          <w:rFonts w:hint="eastAsia"/>
        </w:rPr>
        <w:t>。</w:t>
      </w:r>
    </w:p>
    <w:p w14:paraId="1A0AB617" w14:textId="69495435" w:rsidR="0075566B" w:rsidRDefault="00090385" w:rsidP="00752BC6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檢查流程與紀錄</w:t>
      </w:r>
    </w:p>
    <w:p w14:paraId="27F84089" w14:textId="469E295C" w:rsidR="0075566B" w:rsidRDefault="00090385" w:rsidP="00752BC6">
      <w:pPr>
        <w:pStyle w:val="a8"/>
        <w:ind w:leftChars="0" w:left="530"/>
        <w:rPr>
          <w:rFonts w:cs="Times New Roman"/>
        </w:rPr>
      </w:pPr>
      <w:r w:rsidRPr="00171D4E">
        <w:rPr>
          <w:rFonts w:cs="Times New Roman" w:hint="eastAsia"/>
        </w:rPr>
        <w:t>執行設備檢查時，需嚴格按照檢查計劃進行，並使用標準化的檢查表單進行記錄。檢查表單涵蓋設備的運行狀況、功能測試結果、安全標示、清潔</w:t>
      </w:r>
      <w:r w:rsidRPr="00171D4E">
        <w:rPr>
          <w:rFonts w:cs="Times New Roman"/>
        </w:rPr>
        <w:t>…</w:t>
      </w:r>
      <w:proofErr w:type="gramStart"/>
      <w:r w:rsidRPr="00171D4E">
        <w:rPr>
          <w:rFonts w:cs="Times New Roman"/>
        </w:rPr>
        <w:t>…</w:t>
      </w:r>
      <w:proofErr w:type="gramEnd"/>
      <w:r w:rsidRPr="00171D4E">
        <w:rPr>
          <w:rFonts w:cs="Times New Roman" w:hint="eastAsia"/>
        </w:rPr>
        <w:t>等項目。每次檢查後，應及時將檢查結果輸入設備管理系統，確保記錄的即時性、準確性和完整性。</w:t>
      </w:r>
    </w:p>
    <w:p w14:paraId="3CA57EF8" w14:textId="32EE2354" w:rsidR="00090385" w:rsidRDefault="00090385" w:rsidP="00752BC6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異常處理</w:t>
      </w:r>
    </w:p>
    <w:p w14:paraId="4428FAE5" w14:textId="2B94C35D" w:rsidR="00090385" w:rsidRDefault="00090385" w:rsidP="00752BC6">
      <w:pPr>
        <w:pStyle w:val="a8"/>
        <w:ind w:leftChars="0" w:left="530"/>
        <w:rPr>
          <w:rFonts w:cs="Times New Roman"/>
        </w:rPr>
      </w:pPr>
      <w:r w:rsidRPr="00171D4E">
        <w:rPr>
          <w:rFonts w:cs="Times New Roman" w:hint="eastAsia"/>
        </w:rPr>
        <w:t>如發現設備異常，需立即</w:t>
      </w:r>
      <w:r>
        <w:rPr>
          <w:rFonts w:cs="Times New Roman" w:hint="eastAsia"/>
        </w:rPr>
        <w:t>通報主管人員，並根據異常的嚴重程度決定是否需要停止設備使用。</w:t>
      </w:r>
      <w:r w:rsidRPr="00171D4E">
        <w:rPr>
          <w:rFonts w:cs="Times New Roman" w:hint="eastAsia"/>
        </w:rPr>
        <w:t>所有異常情況及其處理措施，</w:t>
      </w:r>
      <w:r>
        <w:rPr>
          <w:rFonts w:cs="Times New Roman" w:hint="eastAsia"/>
        </w:rPr>
        <w:t>應記錄</w:t>
      </w:r>
      <w:r w:rsidRPr="00171D4E">
        <w:rPr>
          <w:rFonts w:cs="Times New Roman" w:hint="eastAsia"/>
        </w:rPr>
        <w:t>並進行後續跟蹤。</w:t>
      </w:r>
    </w:p>
    <w:p w14:paraId="1C93CDD1" w14:textId="0B747F83" w:rsidR="00090385" w:rsidRDefault="00090385" w:rsidP="00752BC6">
      <w:pPr>
        <w:pStyle w:val="a8"/>
        <w:numPr>
          <w:ilvl w:val="0"/>
          <w:numId w:val="32"/>
        </w:numPr>
        <w:ind w:leftChars="0"/>
      </w:pPr>
      <w:r>
        <w:rPr>
          <w:rFonts w:cs="Times New Roman" w:hint="eastAsia"/>
        </w:rPr>
        <w:t>預防性維護</w:t>
      </w:r>
    </w:p>
    <w:p w14:paraId="6CC93BAF" w14:textId="51D9A081" w:rsidR="00090385" w:rsidRDefault="00090385" w:rsidP="00752BC6">
      <w:pPr>
        <w:pStyle w:val="a8"/>
        <w:ind w:leftChars="0" w:left="530"/>
      </w:pPr>
      <w:r w:rsidRPr="00171D4E">
        <w:rPr>
          <w:rFonts w:cs="Times New Roman" w:hint="eastAsia"/>
        </w:rPr>
        <w:t>制定設備的預防性維護計劃，涵蓋定期</w:t>
      </w:r>
      <w:proofErr w:type="gramStart"/>
      <w:r w:rsidRPr="00171D4E">
        <w:rPr>
          <w:rFonts w:cs="Times New Roman" w:hint="eastAsia"/>
        </w:rPr>
        <w:t>更換易損部件</w:t>
      </w:r>
      <w:proofErr w:type="gramEnd"/>
      <w:r w:rsidRPr="00171D4E">
        <w:rPr>
          <w:rFonts w:cs="Times New Roman" w:hint="eastAsia"/>
        </w:rPr>
        <w:t>、潤滑、清潔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>…</w:t>
      </w:r>
      <w:proofErr w:type="gramEnd"/>
      <w:r w:rsidRPr="00171D4E">
        <w:rPr>
          <w:rFonts w:cs="Times New Roman" w:hint="eastAsia"/>
        </w:rPr>
        <w:t>等預防措施。針對高風險設備，應增加維護頻率或實施額外的維護措施</w:t>
      </w:r>
      <w:r>
        <w:rPr>
          <w:rFonts w:cs="Times New Roman" w:hint="eastAsia"/>
        </w:rPr>
        <w:t>。</w:t>
      </w:r>
    </w:p>
    <w:p w14:paraId="52A6DCEC" w14:textId="0D54741F" w:rsidR="0075566B" w:rsidRDefault="00090385" w:rsidP="00AE517D">
      <w:pPr>
        <w:pStyle w:val="2"/>
      </w:pPr>
      <w:bookmarkStart w:id="8" w:name="_Toc177899147"/>
      <w:r>
        <w:rPr>
          <w:rFonts w:cs="Times New Roman" w:hint="eastAsia"/>
        </w:rPr>
        <w:t>監督與量測</w:t>
      </w:r>
      <w:bookmarkEnd w:id="8"/>
    </w:p>
    <w:p w14:paraId="66762DE9" w14:textId="3BB8703B" w:rsidR="0075566B" w:rsidRDefault="00090385" w:rsidP="00752BC6">
      <w:pPr>
        <w:pStyle w:val="a8"/>
        <w:numPr>
          <w:ilvl w:val="0"/>
          <w:numId w:val="33"/>
        </w:numPr>
        <w:ind w:leftChars="0"/>
      </w:pPr>
      <w:r>
        <w:rPr>
          <w:rFonts w:cs="Times New Roman" w:hint="eastAsia"/>
        </w:rPr>
        <w:t>設備狀況監控</w:t>
      </w:r>
    </w:p>
    <w:p w14:paraId="5ECC3E3A" w14:textId="0D24437C" w:rsidR="0075566B" w:rsidRDefault="00090385" w:rsidP="00752BC6">
      <w:pPr>
        <w:pStyle w:val="a8"/>
        <w:ind w:leftChars="0" w:left="530"/>
      </w:pPr>
      <w:r w:rsidRPr="00171D4E">
        <w:rPr>
          <w:rFonts w:cs="Times New Roman" w:hint="eastAsia"/>
        </w:rPr>
        <w:t>定期檢查設備的運行狀況，包括啟動時間、操作溫度、</w:t>
      </w:r>
      <w:r>
        <w:rPr>
          <w:rFonts w:cs="Times New Roman" w:hint="eastAsia"/>
        </w:rPr>
        <w:t>壓力</w:t>
      </w:r>
      <w:r>
        <w:rPr>
          <w:rFonts w:cs="Times New Roman"/>
        </w:rPr>
        <w:t>…</w:t>
      </w:r>
      <w:r>
        <w:rPr>
          <w:rFonts w:cs="Times New Roman" w:hint="eastAsia"/>
        </w:rPr>
        <w:t>..</w:t>
      </w:r>
      <w:r>
        <w:rPr>
          <w:rFonts w:cs="Times New Roman" w:hint="eastAsia"/>
        </w:rPr>
        <w:t>等關鍵參數。監控結果需與標準數據進行對比，識別潛在問題</w:t>
      </w:r>
      <w:r w:rsidRPr="0091350F">
        <w:rPr>
          <w:rFonts w:cs="Times New Roman" w:hint="eastAsia"/>
        </w:rPr>
        <w:t>。</w:t>
      </w:r>
    </w:p>
    <w:p w14:paraId="5C7C1734" w14:textId="7FC258BB" w:rsidR="0075566B" w:rsidRDefault="00090385" w:rsidP="00752BC6">
      <w:pPr>
        <w:pStyle w:val="a8"/>
        <w:numPr>
          <w:ilvl w:val="0"/>
          <w:numId w:val="33"/>
        </w:numPr>
        <w:ind w:leftChars="0"/>
        <w:rPr>
          <w:rFonts w:cs="Times New Roman"/>
        </w:rPr>
      </w:pPr>
      <w:r>
        <w:rPr>
          <w:rFonts w:cs="Times New Roman" w:hint="eastAsia"/>
        </w:rPr>
        <w:t>數據分析與報告</w:t>
      </w:r>
    </w:p>
    <w:p w14:paraId="5DD30960" w14:textId="0C459E19" w:rsidR="00090385" w:rsidRDefault="00090385" w:rsidP="00752BC6">
      <w:pPr>
        <w:pStyle w:val="a8"/>
        <w:ind w:leftChars="0" w:left="530"/>
        <w:rPr>
          <w:rFonts w:cs="Times New Roman"/>
        </w:rPr>
      </w:pPr>
      <w:r w:rsidRPr="00A45183">
        <w:rPr>
          <w:rFonts w:cs="Times New Roman" w:hint="eastAsia"/>
        </w:rPr>
        <w:t>收集並分析設備的性能數據，如使用頻率、故障率、維護次數</w:t>
      </w:r>
      <w:r w:rsidRPr="00A45183">
        <w:rPr>
          <w:rFonts w:cs="Times New Roman"/>
        </w:rPr>
        <w:t>…</w:t>
      </w:r>
      <w:proofErr w:type="gramStart"/>
      <w:r w:rsidRPr="00A45183">
        <w:rPr>
          <w:rFonts w:cs="Times New Roman"/>
        </w:rPr>
        <w:t>…</w:t>
      </w:r>
      <w:proofErr w:type="gramEnd"/>
      <w:r w:rsidRPr="00A45183">
        <w:rPr>
          <w:rFonts w:cs="Times New Roman" w:hint="eastAsia"/>
        </w:rPr>
        <w:t>等，以評估設備的運行效能。每月或每季度製作設備管理報告，分析設備的運行狀況與風險管理效果，並提交給</w:t>
      </w:r>
      <w:r w:rsidRPr="00A45183">
        <w:rPr>
          <w:rFonts w:cs="Times New Roman" w:hint="eastAsia"/>
        </w:rPr>
        <w:lastRenderedPageBreak/>
        <w:t>上級主管部門。</w:t>
      </w:r>
    </w:p>
    <w:p w14:paraId="65CED3FC" w14:textId="020C9986" w:rsidR="00090385" w:rsidRDefault="00090385" w:rsidP="00752BC6">
      <w:pPr>
        <w:pStyle w:val="a8"/>
        <w:numPr>
          <w:ilvl w:val="0"/>
          <w:numId w:val="33"/>
        </w:numPr>
        <w:ind w:leftChars="0"/>
      </w:pPr>
      <w:r>
        <w:rPr>
          <w:rFonts w:hint="eastAsia"/>
        </w:rPr>
        <w:t>異常事件調查</w:t>
      </w:r>
    </w:p>
    <w:p w14:paraId="223FD361" w14:textId="6E034251" w:rsidR="00090385" w:rsidRPr="00090385" w:rsidRDefault="00090385" w:rsidP="00752BC6">
      <w:pPr>
        <w:pStyle w:val="a8"/>
        <w:ind w:leftChars="0" w:left="530"/>
      </w:pPr>
      <w:r w:rsidRPr="00A45183">
        <w:rPr>
          <w:rFonts w:cs="Times New Roman" w:hint="eastAsia"/>
        </w:rPr>
        <w:t>如發生重大設備故障或安全事件，需組成調查小組進行詳細調查，確定事件原因及責任。調查報告應包括事件描述、原因分析、處理措施及防止再次發生的建議。</w:t>
      </w:r>
    </w:p>
    <w:p w14:paraId="598A22FA" w14:textId="01979C21" w:rsidR="0075566B" w:rsidRDefault="0075566B" w:rsidP="00AE517D">
      <w:pPr>
        <w:pStyle w:val="2"/>
      </w:pPr>
      <w:bookmarkStart w:id="9" w:name="_Toc177899148"/>
      <w:r>
        <w:rPr>
          <w:rFonts w:hint="eastAsia"/>
        </w:rPr>
        <w:t>教育訓練</w:t>
      </w:r>
      <w:bookmarkEnd w:id="9"/>
    </w:p>
    <w:p w14:paraId="236CAD5C" w14:textId="1EDCC911" w:rsidR="0075566B" w:rsidRDefault="00090385" w:rsidP="00752BC6">
      <w:pPr>
        <w:pStyle w:val="a8"/>
        <w:numPr>
          <w:ilvl w:val="0"/>
          <w:numId w:val="34"/>
        </w:numPr>
        <w:ind w:leftChars="0"/>
      </w:pPr>
      <w:r>
        <w:rPr>
          <w:rFonts w:cs="Times New Roman" w:hint="eastAsia"/>
        </w:rPr>
        <w:t>操作人員</w:t>
      </w:r>
      <w:r w:rsidR="0075566B">
        <w:rPr>
          <w:rFonts w:hint="eastAsia"/>
        </w:rPr>
        <w:t>培訓</w:t>
      </w:r>
    </w:p>
    <w:p w14:paraId="1B436DE1" w14:textId="3938950A" w:rsidR="0075566B" w:rsidRDefault="00090385" w:rsidP="00752BC6">
      <w:pPr>
        <w:pStyle w:val="a8"/>
        <w:ind w:leftChars="0" w:left="530"/>
      </w:pPr>
      <w:r w:rsidRPr="00A45183">
        <w:rPr>
          <w:rFonts w:cs="Times New Roman" w:hint="eastAsia"/>
        </w:rPr>
        <w:t>為所有設備的操作人員提供定期培訓，涵蓋設備操作、安全使用、故障處理及應急</w:t>
      </w:r>
      <w:r>
        <w:rPr>
          <w:rFonts w:cs="Times New Roman" w:hint="eastAsia"/>
        </w:rPr>
        <w:t>處置</w:t>
      </w:r>
      <w:r w:rsidRPr="00A45183">
        <w:rPr>
          <w:rFonts w:cs="Times New Roman" w:hint="eastAsia"/>
        </w:rPr>
        <w:t>等內容。培訓應包括理論學習和實際操作，並對培訓效果進行評估</w:t>
      </w:r>
      <w:r w:rsidR="0075566B">
        <w:rPr>
          <w:rFonts w:hint="eastAsia"/>
        </w:rPr>
        <w:t>。</w:t>
      </w:r>
    </w:p>
    <w:p w14:paraId="04DB00D9" w14:textId="47D094A8" w:rsidR="0075566B" w:rsidRDefault="00090385" w:rsidP="00752BC6">
      <w:pPr>
        <w:pStyle w:val="a8"/>
        <w:numPr>
          <w:ilvl w:val="0"/>
          <w:numId w:val="34"/>
        </w:numPr>
        <w:ind w:leftChars="0"/>
      </w:pPr>
      <w:r>
        <w:rPr>
          <w:rFonts w:cs="Times New Roman" w:hint="eastAsia"/>
        </w:rPr>
        <w:t>安全意識教育</w:t>
      </w:r>
    </w:p>
    <w:p w14:paraId="60BC2978" w14:textId="286986F5" w:rsidR="0075566B" w:rsidRDefault="00090385" w:rsidP="00752BC6">
      <w:pPr>
        <w:pStyle w:val="a8"/>
        <w:ind w:leftChars="0" w:left="530"/>
      </w:pPr>
      <w:r>
        <w:rPr>
          <w:rFonts w:cs="Times New Roman" w:hint="eastAsia"/>
        </w:rPr>
        <w:t>定期舉辦安全意識教育訓練</w:t>
      </w:r>
      <w:r w:rsidRPr="00A45183">
        <w:rPr>
          <w:rFonts w:cs="Times New Roman" w:hint="eastAsia"/>
        </w:rPr>
        <w:t>，如安全講座、演練</w:t>
      </w:r>
      <w:r>
        <w:rPr>
          <w:rFonts w:cs="Times New Roman"/>
        </w:rPr>
        <w:t>…</w:t>
      </w:r>
      <w:proofErr w:type="gramStart"/>
      <w:r>
        <w:rPr>
          <w:rFonts w:cs="Times New Roman"/>
        </w:rPr>
        <w:t>…</w:t>
      </w:r>
      <w:proofErr w:type="gramEnd"/>
      <w:r w:rsidRPr="00A45183">
        <w:rPr>
          <w:rFonts w:cs="Times New Roman" w:hint="eastAsia"/>
        </w:rPr>
        <w:t>等，</w:t>
      </w:r>
      <w:r>
        <w:rPr>
          <w:rFonts w:cs="Times New Roman" w:hint="eastAsia"/>
        </w:rPr>
        <w:t>增強全體人員的安全意識</w:t>
      </w:r>
      <w:r w:rsidR="0075566B">
        <w:rPr>
          <w:rFonts w:hint="eastAsia"/>
        </w:rPr>
        <w:t>。</w:t>
      </w:r>
    </w:p>
    <w:p w14:paraId="02AA2F8E" w14:textId="64EA9C28" w:rsidR="0075566B" w:rsidRDefault="00090385" w:rsidP="00AE517D">
      <w:pPr>
        <w:pStyle w:val="2"/>
      </w:pPr>
      <w:bookmarkStart w:id="10" w:name="_Toc177899149"/>
      <w:r>
        <w:rPr>
          <w:rFonts w:cs="Times New Roman" w:hint="eastAsia"/>
        </w:rPr>
        <w:t>紀錄與報告</w:t>
      </w:r>
      <w:bookmarkEnd w:id="10"/>
    </w:p>
    <w:p w14:paraId="55EF04FF" w14:textId="7E0F6674" w:rsidR="0075566B" w:rsidRDefault="00090385" w:rsidP="00752BC6">
      <w:pPr>
        <w:pStyle w:val="a8"/>
        <w:numPr>
          <w:ilvl w:val="0"/>
          <w:numId w:val="35"/>
        </w:numPr>
        <w:ind w:leftChars="0"/>
      </w:pPr>
      <w:r>
        <w:rPr>
          <w:rFonts w:cs="Times New Roman" w:hint="eastAsia"/>
        </w:rPr>
        <w:t>檢查與維護紀錄</w:t>
      </w:r>
    </w:p>
    <w:p w14:paraId="4F23C737" w14:textId="2E8F4BCB" w:rsidR="009A4EB1" w:rsidRDefault="00090385" w:rsidP="00752BC6">
      <w:pPr>
        <w:pStyle w:val="a8"/>
        <w:ind w:leftChars="0" w:left="530"/>
      </w:pPr>
      <w:r w:rsidRPr="00A45183">
        <w:rPr>
          <w:rFonts w:cs="Times New Roman" w:hint="eastAsia"/>
        </w:rPr>
        <w:t>每次檢查、維護、修復活動後，操作人員需詳細記錄檢查結果、維護內容及異常情況，並保存在系統中。所有紀錄應定期備份，防止數據丟失</w:t>
      </w:r>
      <w:r w:rsidR="0075566B">
        <w:rPr>
          <w:rFonts w:hint="eastAsia"/>
        </w:rPr>
        <w:t>。</w:t>
      </w:r>
    </w:p>
    <w:p w14:paraId="4A5B67D0" w14:textId="1C265A7C" w:rsidR="00090385" w:rsidRDefault="00090385" w:rsidP="00752BC6">
      <w:pPr>
        <w:pStyle w:val="a8"/>
        <w:numPr>
          <w:ilvl w:val="0"/>
          <w:numId w:val="35"/>
        </w:numPr>
        <w:ind w:leftChars="0"/>
      </w:pPr>
      <w:r>
        <w:rPr>
          <w:rFonts w:hint="eastAsia"/>
        </w:rPr>
        <w:t>設備管理報告</w:t>
      </w:r>
    </w:p>
    <w:p w14:paraId="0EA72E46" w14:textId="51D4162E" w:rsidR="00090385" w:rsidRPr="00090385" w:rsidRDefault="00090385" w:rsidP="00752BC6">
      <w:pPr>
        <w:pStyle w:val="a8"/>
        <w:ind w:leftChars="0" w:left="530"/>
      </w:pPr>
      <w:r w:rsidRPr="00A45183">
        <w:rPr>
          <w:rFonts w:cs="Times New Roman" w:hint="eastAsia"/>
        </w:rPr>
        <w:t>定期編制設備管理報告，內容應包括檢查結果、維護情況、風險評估結果、異常處理記錄及改</w:t>
      </w:r>
      <w:r>
        <w:rPr>
          <w:rFonts w:cs="Times New Roman" w:hint="eastAsia"/>
        </w:rPr>
        <w:t>善建議。報告需提交給上級主管部門，作為績效考核和管理決策的依據</w:t>
      </w:r>
      <w:r w:rsidRPr="00764702">
        <w:rPr>
          <w:rFonts w:cs="Times New Roman" w:hint="eastAsia"/>
        </w:rPr>
        <w:t>。</w:t>
      </w:r>
    </w:p>
    <w:p w14:paraId="184AAF16" w14:textId="7BBC8CB7" w:rsidR="009A4EB1" w:rsidRDefault="00090385" w:rsidP="00090385">
      <w:pPr>
        <w:pStyle w:val="2"/>
        <w:rPr>
          <w:rFonts w:cs="Times New Roman"/>
        </w:rPr>
      </w:pPr>
      <w:bookmarkStart w:id="11" w:name="_Toc177899150"/>
      <w:r>
        <w:rPr>
          <w:rFonts w:cs="Times New Roman" w:hint="eastAsia"/>
        </w:rPr>
        <w:t>持續改進</w:t>
      </w:r>
      <w:bookmarkEnd w:id="11"/>
    </w:p>
    <w:p w14:paraId="0B6F3129" w14:textId="4913DB4F" w:rsidR="00090385" w:rsidRDefault="00090385" w:rsidP="00752BC6">
      <w:pPr>
        <w:pStyle w:val="a8"/>
        <w:numPr>
          <w:ilvl w:val="0"/>
          <w:numId w:val="36"/>
        </w:numPr>
        <w:ind w:leftChars="0"/>
        <w:rPr>
          <w:rFonts w:cs="Times New Roman"/>
        </w:rPr>
      </w:pPr>
      <w:r w:rsidRPr="00F73457">
        <w:rPr>
          <w:rFonts w:cs="Times New Roman" w:hint="eastAsia"/>
        </w:rPr>
        <w:t>系統效能回顧</w:t>
      </w:r>
    </w:p>
    <w:p w14:paraId="19D1392C" w14:textId="7FC2A184" w:rsidR="00090385" w:rsidRDefault="00090385" w:rsidP="00752BC6">
      <w:pPr>
        <w:pStyle w:val="a8"/>
        <w:ind w:leftChars="0" w:left="530"/>
      </w:pPr>
      <w:r w:rsidRPr="00F73457">
        <w:rPr>
          <w:rFonts w:cs="Times New Roman" w:hint="eastAsia"/>
        </w:rPr>
        <w:t>每年對設備管理系統的效能進行全面回顧，總結經驗教訓，並識別改進空間。根據回顧結果，調整檢查和維護計劃，完善風險控制措施</w:t>
      </w:r>
      <w:r>
        <w:rPr>
          <w:rFonts w:cs="Times New Roman" w:hint="eastAsia"/>
        </w:rPr>
        <w:t>。</w:t>
      </w:r>
    </w:p>
    <w:p w14:paraId="33391146" w14:textId="3093B338" w:rsidR="00090385" w:rsidRDefault="00090385" w:rsidP="00752BC6">
      <w:pPr>
        <w:pStyle w:val="a8"/>
        <w:numPr>
          <w:ilvl w:val="0"/>
          <w:numId w:val="36"/>
        </w:numPr>
        <w:ind w:leftChars="0"/>
      </w:pPr>
      <w:r>
        <w:rPr>
          <w:rFonts w:cs="Times New Roman" w:hint="eastAsia"/>
        </w:rPr>
        <w:t>風險管理優化</w:t>
      </w:r>
    </w:p>
    <w:p w14:paraId="714E9C90" w14:textId="7C4FD582" w:rsidR="00090385" w:rsidRDefault="00090385" w:rsidP="00752BC6">
      <w:pPr>
        <w:pStyle w:val="a8"/>
        <w:ind w:leftChars="0" w:left="530"/>
        <w:rPr>
          <w:rFonts w:cs="Times New Roman"/>
        </w:rPr>
      </w:pPr>
      <w:r w:rsidRPr="00F73457">
        <w:rPr>
          <w:rFonts w:cs="Times New Roman" w:hint="eastAsia"/>
        </w:rPr>
        <w:t>隨著新技術或新設備的引入，應不斷更新風險評估方法，提升風險管理水平。針對高風險設備，探索更有效的管理手段，如引入自動化監測系統或增加檢測頻率。</w:t>
      </w:r>
    </w:p>
    <w:p w14:paraId="1DBEC7AD" w14:textId="77777777" w:rsidR="00484123" w:rsidRPr="00090385" w:rsidRDefault="00484123" w:rsidP="00484123"/>
    <w:p w14:paraId="4344CA56" w14:textId="68825A86" w:rsidR="009A4EB1" w:rsidRDefault="009A4EB1" w:rsidP="00B21139">
      <w:pPr>
        <w:pStyle w:val="1"/>
      </w:pPr>
      <w:bookmarkStart w:id="12" w:name="_Toc177899151"/>
      <w:r>
        <w:rPr>
          <w:rFonts w:hint="eastAsia"/>
        </w:rPr>
        <w:t>使用表單</w:t>
      </w:r>
      <w:bookmarkEnd w:id="12"/>
    </w:p>
    <w:p w14:paraId="062F32E1" w14:textId="3C248ED9" w:rsidR="0075683A" w:rsidRDefault="0075683A" w:rsidP="0075683A">
      <w:pPr>
        <w:ind w:left="425"/>
      </w:pPr>
      <w:r>
        <w:t>1</w:t>
      </w:r>
      <w:r>
        <w:rPr>
          <w:rFonts w:hint="eastAsia"/>
        </w:rPr>
        <w:t>.</w:t>
      </w:r>
      <w:r w:rsidRPr="0075683A">
        <w:rPr>
          <w:rFonts w:hint="eastAsia"/>
        </w:rPr>
        <w:t>保養紀錄表</w:t>
      </w:r>
    </w:p>
    <w:p w14:paraId="5BBF89F9" w14:textId="77777777" w:rsidR="0075683A" w:rsidRDefault="0075683A" w:rsidP="0075683A">
      <w:pPr>
        <w:ind w:left="425"/>
      </w:pPr>
      <w:r>
        <w:t>2</w:t>
      </w:r>
      <w:r>
        <w:rPr>
          <w:rFonts w:hint="eastAsia"/>
        </w:rPr>
        <w:t>.</w:t>
      </w:r>
      <w:r w:rsidRPr="00B40963">
        <w:rPr>
          <w:rFonts w:hint="eastAsia"/>
        </w:rPr>
        <w:t>檢修紀錄表</w:t>
      </w:r>
    </w:p>
    <w:p w14:paraId="5E1D040D" w14:textId="1243AF06" w:rsidR="0075683A" w:rsidRDefault="0075683A" w:rsidP="0075683A">
      <w:pPr>
        <w:ind w:left="425"/>
      </w:pPr>
      <w:r>
        <w:t>3</w:t>
      </w:r>
      <w:r>
        <w:rPr>
          <w:rFonts w:hint="eastAsia"/>
        </w:rPr>
        <w:t>.</w:t>
      </w:r>
      <w:r w:rsidRPr="0075683A">
        <w:rPr>
          <w:rFonts w:hint="eastAsia"/>
        </w:rPr>
        <w:t>設備財產編號清單</w:t>
      </w:r>
    </w:p>
    <w:p w14:paraId="1A314476" w14:textId="77777777" w:rsidR="0075683A" w:rsidRDefault="0075683A" w:rsidP="0075683A">
      <w:pPr>
        <w:ind w:left="425"/>
      </w:pPr>
      <w:r>
        <w:t>4</w:t>
      </w:r>
      <w:r>
        <w:rPr>
          <w:rFonts w:hint="eastAsia"/>
        </w:rPr>
        <w:t>.</w:t>
      </w:r>
      <w:r w:rsidRPr="00B40963">
        <w:rPr>
          <w:rFonts w:hint="eastAsia"/>
        </w:rPr>
        <w:t>風險評估表</w:t>
      </w:r>
    </w:p>
    <w:p w14:paraId="1E1D9858" w14:textId="5825B1B8" w:rsidR="003B0CB1" w:rsidRDefault="0075683A" w:rsidP="0075683A">
      <w:pPr>
        <w:ind w:left="425"/>
      </w:pPr>
      <w:r>
        <w:t>5</w:t>
      </w:r>
      <w:r>
        <w:rPr>
          <w:rFonts w:hint="eastAsia"/>
        </w:rPr>
        <w:t>.</w:t>
      </w:r>
      <w:r w:rsidRPr="00B40963">
        <w:rPr>
          <w:rFonts w:hint="eastAsia"/>
        </w:rPr>
        <w:t>日常巡查檢核表</w:t>
      </w:r>
    </w:p>
    <w:p w14:paraId="14819974" w14:textId="164048F7" w:rsidR="0075683A" w:rsidRDefault="0075683A" w:rsidP="0075683A">
      <w:pPr>
        <w:ind w:left="425"/>
      </w:pPr>
      <w:r>
        <w:rPr>
          <w:rFonts w:hint="eastAsia"/>
        </w:rPr>
        <w:t>6.</w:t>
      </w:r>
      <w:r w:rsidRPr="0075683A">
        <w:rPr>
          <w:rFonts w:hint="eastAsia"/>
        </w:rPr>
        <w:t>設備管理定期檢查表</w:t>
      </w:r>
    </w:p>
    <w:p w14:paraId="02818AD8" w14:textId="489175D5" w:rsidR="0075683A" w:rsidRDefault="0075683A" w:rsidP="0075683A">
      <w:pPr>
        <w:ind w:left="425"/>
        <w:rPr>
          <w:rFonts w:hint="eastAsia"/>
        </w:rPr>
      </w:pPr>
      <w:r>
        <w:rPr>
          <w:rFonts w:hint="eastAsia"/>
        </w:rPr>
        <w:t>7.</w:t>
      </w:r>
      <w:r w:rsidRPr="0075683A">
        <w:rPr>
          <w:rFonts w:hint="eastAsia"/>
        </w:rPr>
        <w:t>設備性能異常數據清單</w:t>
      </w:r>
    </w:p>
    <w:p w14:paraId="598790D9" w14:textId="548334E7" w:rsidR="0075683A" w:rsidRDefault="0075683A" w:rsidP="0075683A">
      <w:pPr>
        <w:ind w:left="425"/>
      </w:pPr>
      <w:r>
        <w:rPr>
          <w:rFonts w:hint="eastAsia"/>
        </w:rPr>
        <w:t>8.</w:t>
      </w:r>
      <w:r w:rsidRPr="0075683A">
        <w:rPr>
          <w:rFonts w:hint="eastAsia"/>
        </w:rPr>
        <w:t>異常事件調查表</w:t>
      </w:r>
    </w:p>
    <w:p w14:paraId="07DFC7F4" w14:textId="05569CF5" w:rsidR="0075683A" w:rsidRPr="00864C4F" w:rsidRDefault="0075683A" w:rsidP="0075683A">
      <w:pPr>
        <w:rPr>
          <w:rFonts w:hint="eastAsia"/>
        </w:rPr>
      </w:pPr>
    </w:p>
    <w:sectPr w:rsidR="0075683A" w:rsidRPr="00864C4F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75946" w14:textId="77777777" w:rsidR="000741B8" w:rsidRDefault="000741B8" w:rsidP="00234E57">
      <w:r>
        <w:separator/>
      </w:r>
    </w:p>
  </w:endnote>
  <w:endnote w:type="continuationSeparator" w:id="0">
    <w:p w14:paraId="542AE1F3" w14:textId="77777777" w:rsidR="000741B8" w:rsidRDefault="000741B8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EndPr/>
    <w:sdtContent>
      <w:p w14:paraId="7AECE215" w14:textId="01C686DE" w:rsidR="00295DB6" w:rsidRDefault="008A617A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EndPr/>
    <w:sdtContent>
      <w:p w14:paraId="1D38E0E1" w14:textId="08092128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959" w:rsidRPr="00274959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EndPr/>
    <w:sdtContent>
      <w:p w14:paraId="3E72CBE7" w14:textId="0238BD79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959" w:rsidRPr="00274959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28931" w14:textId="77777777" w:rsidR="000741B8" w:rsidRDefault="000741B8" w:rsidP="00234E57">
      <w:r>
        <w:separator/>
      </w:r>
    </w:p>
  </w:footnote>
  <w:footnote w:type="continuationSeparator" w:id="0">
    <w:p w14:paraId="1EDEF00B" w14:textId="77777777" w:rsidR="000741B8" w:rsidRDefault="000741B8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7F6CC282" w:rsidR="00A4675F" w:rsidRDefault="006C28FE" w:rsidP="00A4675F">
          <w:pPr>
            <w:pStyle w:val="a3"/>
            <w:jc w:val="center"/>
          </w:pPr>
          <w:r w:rsidRPr="006C28FE">
            <w:rPr>
              <w:rFonts w:hint="eastAsia"/>
            </w:rPr>
            <w:t>廳舍設備安全衛生</w:t>
          </w:r>
          <w:r w:rsidR="00A4675F" w:rsidRPr="009A7568">
            <w:rPr>
              <w:rFonts w:hint="eastAsia"/>
            </w:rPr>
            <w:t>管理程序書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3DEEB5D0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DD66B7" w:rsidRPr="00DD66B7">
            <w:rPr>
              <w:rFonts w:hint="eastAsia"/>
            </w:rPr>
            <w:t>S</w:t>
          </w:r>
          <w:r w:rsidR="00DD66B7" w:rsidRPr="00DD66B7">
            <w:t>H-P1-002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77AA"/>
    <w:multiLevelType w:val="hybridMultilevel"/>
    <w:tmpl w:val="282EC3A2"/>
    <w:lvl w:ilvl="0" w:tplc="E2A099C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4BD7609"/>
    <w:multiLevelType w:val="hybridMultilevel"/>
    <w:tmpl w:val="282EC3A2"/>
    <w:lvl w:ilvl="0" w:tplc="E2A099C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7537DF8"/>
    <w:multiLevelType w:val="hybridMultilevel"/>
    <w:tmpl w:val="282EC3A2"/>
    <w:lvl w:ilvl="0" w:tplc="E2A099C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1086116"/>
    <w:multiLevelType w:val="hybridMultilevel"/>
    <w:tmpl w:val="282EC3A2"/>
    <w:lvl w:ilvl="0" w:tplc="E2A099C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1" w15:restartNumberingAfterBreak="0">
    <w:nsid w:val="587E1737"/>
    <w:multiLevelType w:val="hybridMultilevel"/>
    <w:tmpl w:val="282EC3A2"/>
    <w:lvl w:ilvl="0" w:tplc="E2A099C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5E331558"/>
    <w:multiLevelType w:val="hybridMultilevel"/>
    <w:tmpl w:val="282EC3A2"/>
    <w:lvl w:ilvl="0" w:tplc="E2A099C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5E885A52"/>
    <w:multiLevelType w:val="multilevel"/>
    <w:tmpl w:val="8A405EDC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284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3C48C6"/>
    <w:multiLevelType w:val="hybridMultilevel"/>
    <w:tmpl w:val="282EC3A2"/>
    <w:lvl w:ilvl="0" w:tplc="E2A099C2">
      <w:start w:val="1"/>
      <w:numFmt w:val="decimal"/>
      <w:suff w:val="nothing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7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 w15:restartNumberingAfterBreak="0">
    <w:nsid w:val="7B204700"/>
    <w:multiLevelType w:val="multilevel"/>
    <w:tmpl w:val="5A026A44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lvlText w:val="%3."/>
      <w:lvlJc w:val="left"/>
      <w:pPr>
        <w:ind w:left="283" w:firstLine="284"/>
      </w:pPr>
      <w:rPr>
        <w:rFonts w:hint="default"/>
        <w:b w:val="0"/>
        <w:i w:val="0"/>
        <w:sz w:val="24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567"/>
      </w:pPr>
      <w:rPr>
        <w:rFonts w:ascii="Times New Roman" w:eastAsia="標楷體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63188010">
    <w:abstractNumId w:val="10"/>
  </w:num>
  <w:num w:numId="2" w16cid:durableId="715549581">
    <w:abstractNumId w:val="3"/>
  </w:num>
  <w:num w:numId="3" w16cid:durableId="1132207051">
    <w:abstractNumId w:val="13"/>
  </w:num>
  <w:num w:numId="4" w16cid:durableId="495387095">
    <w:abstractNumId w:val="1"/>
  </w:num>
  <w:num w:numId="5" w16cid:durableId="725838302">
    <w:abstractNumId w:val="15"/>
  </w:num>
  <w:num w:numId="6" w16cid:durableId="1034890237">
    <w:abstractNumId w:val="25"/>
  </w:num>
  <w:num w:numId="7" w16cid:durableId="696932233">
    <w:abstractNumId w:val="7"/>
  </w:num>
  <w:num w:numId="8" w16cid:durableId="1690597847">
    <w:abstractNumId w:val="20"/>
  </w:num>
  <w:num w:numId="9" w16cid:durableId="38359634">
    <w:abstractNumId w:val="9"/>
  </w:num>
  <w:num w:numId="10" w16cid:durableId="686323922">
    <w:abstractNumId w:val="11"/>
  </w:num>
  <w:num w:numId="11" w16cid:durableId="1325358539">
    <w:abstractNumId w:val="18"/>
  </w:num>
  <w:num w:numId="12" w16cid:durableId="1312055567">
    <w:abstractNumId w:val="16"/>
  </w:num>
  <w:num w:numId="13" w16cid:durableId="731194070">
    <w:abstractNumId w:val="14"/>
  </w:num>
  <w:num w:numId="14" w16cid:durableId="1606501152">
    <w:abstractNumId w:val="4"/>
  </w:num>
  <w:num w:numId="15" w16cid:durableId="1673022361">
    <w:abstractNumId w:val="24"/>
  </w:num>
  <w:num w:numId="16" w16cid:durableId="1900624761">
    <w:abstractNumId w:val="4"/>
  </w:num>
  <w:num w:numId="17" w16cid:durableId="1007558409">
    <w:abstractNumId w:val="4"/>
  </w:num>
  <w:num w:numId="18" w16cid:durableId="854881720">
    <w:abstractNumId w:val="6"/>
  </w:num>
  <w:num w:numId="19" w16cid:durableId="1473330351">
    <w:abstractNumId w:val="27"/>
  </w:num>
  <w:num w:numId="20" w16cid:durableId="634022498">
    <w:abstractNumId w:val="6"/>
  </w:num>
  <w:num w:numId="21" w16cid:durableId="568922900">
    <w:abstractNumId w:val="6"/>
  </w:num>
  <w:num w:numId="22" w16cid:durableId="1709910188">
    <w:abstractNumId w:val="6"/>
  </w:num>
  <w:num w:numId="23" w16cid:durableId="1310549932">
    <w:abstractNumId w:val="6"/>
  </w:num>
  <w:num w:numId="24" w16cid:durableId="1583686353">
    <w:abstractNumId w:val="6"/>
  </w:num>
  <w:num w:numId="25" w16cid:durableId="75248526">
    <w:abstractNumId w:val="12"/>
  </w:num>
  <w:num w:numId="26" w16cid:durableId="795565215">
    <w:abstractNumId w:val="17"/>
  </w:num>
  <w:num w:numId="27" w16cid:durableId="2102336093">
    <w:abstractNumId w:val="8"/>
  </w:num>
  <w:num w:numId="28" w16cid:durableId="968777819">
    <w:abstractNumId w:val="28"/>
  </w:num>
  <w:num w:numId="29" w16cid:durableId="817841492">
    <w:abstractNumId w:val="23"/>
  </w:num>
  <w:num w:numId="30" w16cid:durableId="2065054671">
    <w:abstractNumId w:val="26"/>
  </w:num>
  <w:num w:numId="31" w16cid:durableId="602346252">
    <w:abstractNumId w:val="19"/>
  </w:num>
  <w:num w:numId="32" w16cid:durableId="448397320">
    <w:abstractNumId w:val="21"/>
  </w:num>
  <w:num w:numId="33" w16cid:durableId="1228955242">
    <w:abstractNumId w:val="0"/>
  </w:num>
  <w:num w:numId="34" w16cid:durableId="804472506">
    <w:abstractNumId w:val="5"/>
  </w:num>
  <w:num w:numId="35" w16cid:durableId="1713990834">
    <w:abstractNumId w:val="22"/>
  </w:num>
  <w:num w:numId="36" w16cid:durableId="643198871">
    <w:abstractNumId w:val="2"/>
  </w:num>
  <w:num w:numId="37" w16cid:durableId="141115196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246CF"/>
    <w:rsid w:val="00032BE6"/>
    <w:rsid w:val="000374A5"/>
    <w:rsid w:val="00044380"/>
    <w:rsid w:val="000712F4"/>
    <w:rsid w:val="000741B8"/>
    <w:rsid w:val="00090385"/>
    <w:rsid w:val="00094E23"/>
    <w:rsid w:val="000F4A37"/>
    <w:rsid w:val="0015030B"/>
    <w:rsid w:val="00165E59"/>
    <w:rsid w:val="001A3E59"/>
    <w:rsid w:val="001A69F4"/>
    <w:rsid w:val="001E0C19"/>
    <w:rsid w:val="001E1197"/>
    <w:rsid w:val="0020607F"/>
    <w:rsid w:val="00234E57"/>
    <w:rsid w:val="00237CC9"/>
    <w:rsid w:val="00274959"/>
    <w:rsid w:val="00274C0F"/>
    <w:rsid w:val="00295DB6"/>
    <w:rsid w:val="002D5DF9"/>
    <w:rsid w:val="002E6157"/>
    <w:rsid w:val="0034047D"/>
    <w:rsid w:val="00367762"/>
    <w:rsid w:val="00391343"/>
    <w:rsid w:val="003A5A2B"/>
    <w:rsid w:val="003B0CB1"/>
    <w:rsid w:val="003F4922"/>
    <w:rsid w:val="00404543"/>
    <w:rsid w:val="00473972"/>
    <w:rsid w:val="0047652C"/>
    <w:rsid w:val="00484123"/>
    <w:rsid w:val="00544471"/>
    <w:rsid w:val="0055180D"/>
    <w:rsid w:val="00566077"/>
    <w:rsid w:val="005E3BEB"/>
    <w:rsid w:val="00643789"/>
    <w:rsid w:val="006A2668"/>
    <w:rsid w:val="006C28FE"/>
    <w:rsid w:val="006C3682"/>
    <w:rsid w:val="006F4D2B"/>
    <w:rsid w:val="00701AB5"/>
    <w:rsid w:val="00752132"/>
    <w:rsid w:val="00752BC6"/>
    <w:rsid w:val="0075566B"/>
    <w:rsid w:val="0075683A"/>
    <w:rsid w:val="007671E6"/>
    <w:rsid w:val="00797FDE"/>
    <w:rsid w:val="007A305C"/>
    <w:rsid w:val="007C26F2"/>
    <w:rsid w:val="007D1371"/>
    <w:rsid w:val="007F430A"/>
    <w:rsid w:val="008226BD"/>
    <w:rsid w:val="00827277"/>
    <w:rsid w:val="00830DDB"/>
    <w:rsid w:val="00864C4F"/>
    <w:rsid w:val="008650DC"/>
    <w:rsid w:val="008A11FD"/>
    <w:rsid w:val="009143DA"/>
    <w:rsid w:val="00932BC7"/>
    <w:rsid w:val="00952C8F"/>
    <w:rsid w:val="009824DC"/>
    <w:rsid w:val="0099149B"/>
    <w:rsid w:val="009A4EB1"/>
    <w:rsid w:val="009A65AB"/>
    <w:rsid w:val="009A7568"/>
    <w:rsid w:val="009C7B72"/>
    <w:rsid w:val="009D3304"/>
    <w:rsid w:val="009F1E62"/>
    <w:rsid w:val="00A01891"/>
    <w:rsid w:val="00A4675F"/>
    <w:rsid w:val="00A80D8A"/>
    <w:rsid w:val="00A82745"/>
    <w:rsid w:val="00AB538E"/>
    <w:rsid w:val="00AC06D1"/>
    <w:rsid w:val="00AC4987"/>
    <w:rsid w:val="00AC7B0E"/>
    <w:rsid w:val="00AE517D"/>
    <w:rsid w:val="00AE64C6"/>
    <w:rsid w:val="00B20487"/>
    <w:rsid w:val="00B21139"/>
    <w:rsid w:val="00B3303B"/>
    <w:rsid w:val="00BB5234"/>
    <w:rsid w:val="00BC3935"/>
    <w:rsid w:val="00BE49BC"/>
    <w:rsid w:val="00C57E47"/>
    <w:rsid w:val="00C67F85"/>
    <w:rsid w:val="00C767B6"/>
    <w:rsid w:val="00CD6EA7"/>
    <w:rsid w:val="00D0678D"/>
    <w:rsid w:val="00D47604"/>
    <w:rsid w:val="00DA03D2"/>
    <w:rsid w:val="00DD66B7"/>
    <w:rsid w:val="00DE72B5"/>
    <w:rsid w:val="00DF13A1"/>
    <w:rsid w:val="00E05370"/>
    <w:rsid w:val="00E24B86"/>
    <w:rsid w:val="00E44361"/>
    <w:rsid w:val="00E551DA"/>
    <w:rsid w:val="00E71BE8"/>
    <w:rsid w:val="00E8640F"/>
    <w:rsid w:val="00F1716C"/>
    <w:rsid w:val="00F24BAB"/>
    <w:rsid w:val="00F35D5B"/>
    <w:rsid w:val="00F50B3D"/>
    <w:rsid w:val="00F55047"/>
    <w:rsid w:val="00F73852"/>
    <w:rsid w:val="00F759B0"/>
    <w:rsid w:val="00FB4704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E517D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numPr>
        <w:ilvl w:val="3"/>
        <w:numId w:val="28"/>
      </w:numPr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AE517D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7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BF7EF-0183-4E76-B967-82FDB7AA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瑋慈 洪</cp:lastModifiedBy>
  <cp:revision>13</cp:revision>
  <dcterms:created xsi:type="dcterms:W3CDTF">2024-09-04T03:43:00Z</dcterms:created>
  <dcterms:modified xsi:type="dcterms:W3CDTF">2024-11-26T12:13:00Z</dcterms:modified>
</cp:coreProperties>
</file>